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EA65F" w14:textId="77777777" w:rsidR="00C07961" w:rsidRPr="001B0867" w:rsidRDefault="00C07961" w:rsidP="00C07961">
      <w:pPr>
        <w:rPr>
          <w:rFonts w:asciiTheme="majorHAnsi" w:hAnsiTheme="majorHAnsi"/>
        </w:rPr>
      </w:pPr>
    </w:p>
    <w:p w14:paraId="7F418BD6" w14:textId="77777777" w:rsidR="00C07961" w:rsidRPr="001B0867" w:rsidRDefault="00C07961" w:rsidP="00C07961">
      <w:pPr>
        <w:pStyle w:val="Title"/>
        <w:autoSpaceDE w:val="0"/>
        <w:autoSpaceDN w:val="0"/>
        <w:spacing w:before="120"/>
        <w:rPr>
          <w:rFonts w:asciiTheme="majorHAnsi" w:hAnsiTheme="majorHAnsi"/>
          <w:sz w:val="72"/>
        </w:rPr>
      </w:pPr>
      <w:r w:rsidRPr="001B0867">
        <w:rPr>
          <w:rFonts w:asciiTheme="majorHAnsi" w:hAnsiTheme="majorHAnsi"/>
          <w:sz w:val="72"/>
        </w:rPr>
        <w:t>Workshop</w:t>
      </w:r>
    </w:p>
    <w:p w14:paraId="109E7E5E" w14:textId="77777777" w:rsidR="00C07961" w:rsidRPr="001B0867" w:rsidRDefault="00C07961" w:rsidP="00C07961">
      <w:pPr>
        <w:pStyle w:val="Title"/>
        <w:autoSpaceDE w:val="0"/>
        <w:autoSpaceDN w:val="0"/>
        <w:spacing w:before="120" w:after="0"/>
        <w:rPr>
          <w:rFonts w:asciiTheme="majorHAnsi" w:hAnsiTheme="majorHAnsi"/>
          <w:b w:val="0"/>
          <w:sz w:val="36"/>
          <w:lang w:val="en-AU"/>
        </w:rPr>
      </w:pPr>
      <w:r w:rsidRPr="001B0867">
        <w:rPr>
          <w:rFonts w:asciiTheme="majorHAnsi" w:hAnsiTheme="majorHAnsi"/>
          <w:b w:val="0"/>
          <w:sz w:val="36"/>
          <w:lang w:val="en-AU"/>
        </w:rPr>
        <w:t xml:space="preserve">EOTC Guidelines </w:t>
      </w:r>
      <w:r w:rsidRPr="001B0867">
        <w:rPr>
          <w:rFonts w:asciiTheme="majorHAnsi" w:hAnsiTheme="majorHAnsi"/>
          <w:b w:val="0"/>
          <w:sz w:val="36"/>
          <w:lang w:val="en-AU"/>
        </w:rPr>
        <w:br/>
        <w:t>Bringing the Curriculum Alive</w:t>
      </w:r>
    </w:p>
    <w:p w14:paraId="2B6285BC" w14:textId="77777777" w:rsidR="00C07961" w:rsidRPr="001B0867" w:rsidRDefault="00C07961" w:rsidP="00C07961">
      <w:pPr>
        <w:pStyle w:val="Title"/>
        <w:autoSpaceDE w:val="0"/>
        <w:autoSpaceDN w:val="0"/>
        <w:spacing w:after="0"/>
        <w:rPr>
          <w:rFonts w:asciiTheme="majorHAnsi" w:hAnsiTheme="majorHAnsi"/>
          <w:color w:val="808080"/>
          <w:sz w:val="72"/>
        </w:rPr>
      </w:pPr>
      <w:r w:rsidRPr="001B0867">
        <w:rPr>
          <w:rFonts w:asciiTheme="majorHAnsi" w:hAnsiTheme="majorHAnsi"/>
          <w:color w:val="808080"/>
          <w:sz w:val="72"/>
        </w:rPr>
        <w:t>Facilitator’s Resource</w:t>
      </w:r>
    </w:p>
    <w:p w14:paraId="7DB14FDD" w14:textId="65875DA5" w:rsidR="00C07961" w:rsidRPr="001B0867" w:rsidRDefault="00AB7E5D" w:rsidP="00C07961">
      <w:pPr>
        <w:pStyle w:val="Title"/>
        <w:autoSpaceDE w:val="0"/>
        <w:autoSpaceDN w:val="0"/>
        <w:spacing w:after="0"/>
        <w:rPr>
          <w:rFonts w:asciiTheme="majorHAnsi" w:hAnsiTheme="majorHAnsi"/>
          <w:sz w:val="28"/>
        </w:rPr>
      </w:pPr>
      <w:r>
        <w:rPr>
          <w:rFonts w:asciiTheme="majorHAnsi" w:hAnsiTheme="majorHAnsi"/>
          <w:sz w:val="28"/>
        </w:rPr>
        <w:t>September 2012, Edition 3</w:t>
      </w:r>
      <w:bookmarkStart w:id="0" w:name="_GoBack"/>
      <w:bookmarkEnd w:id="0"/>
    </w:p>
    <w:p w14:paraId="1651D7EF" w14:textId="77777777" w:rsidR="00C07961" w:rsidRPr="001B0867" w:rsidRDefault="000E1304" w:rsidP="00C07961">
      <w:pPr>
        <w:pStyle w:val="Title"/>
        <w:autoSpaceDE w:val="0"/>
        <w:autoSpaceDN w:val="0"/>
        <w:spacing w:after="0"/>
        <w:rPr>
          <w:rFonts w:asciiTheme="majorHAnsi" w:hAnsiTheme="majorHAnsi"/>
          <w:color w:val="808080"/>
          <w:sz w:val="72"/>
        </w:rPr>
      </w:pPr>
      <w:r w:rsidRPr="001B0867">
        <w:rPr>
          <w:rFonts w:asciiTheme="majorHAnsi" w:hAnsiTheme="majorHAnsi"/>
          <w:noProof/>
          <w:color w:val="808080"/>
          <w:sz w:val="24"/>
          <w:lang w:val="en-US" w:eastAsia="en-US"/>
        </w:rPr>
        <w:drawing>
          <wp:inline distT="0" distB="0" distL="0" distR="0" wp14:anchorId="5C35B175" wp14:editId="12E5C84C">
            <wp:extent cx="4423410" cy="2668905"/>
            <wp:effectExtent l="0" t="0" r="0" b="0"/>
            <wp:docPr id="1"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3410" cy="2668905"/>
                    </a:xfrm>
                    <a:prstGeom prst="rect">
                      <a:avLst/>
                    </a:prstGeom>
                    <a:noFill/>
                    <a:ln>
                      <a:noFill/>
                    </a:ln>
                  </pic:spPr>
                </pic:pic>
              </a:graphicData>
            </a:graphic>
          </wp:inline>
        </w:drawing>
      </w:r>
    </w:p>
    <w:p w14:paraId="5CD5AF09" w14:textId="77777777" w:rsidR="00C07961" w:rsidRPr="001B0867" w:rsidRDefault="00C07961" w:rsidP="00C07961">
      <w:pPr>
        <w:rPr>
          <w:rFonts w:asciiTheme="majorHAnsi" w:hAnsiTheme="majorHAnsi"/>
          <w:b/>
          <w:bCs/>
        </w:rPr>
      </w:pPr>
    </w:p>
    <w:p w14:paraId="0CA8C37D" w14:textId="77777777" w:rsidR="00C07961" w:rsidRPr="001B0867" w:rsidRDefault="00C07961" w:rsidP="00C07961">
      <w:pPr>
        <w:rPr>
          <w:rFonts w:asciiTheme="majorHAnsi" w:hAnsiTheme="majorHAnsi"/>
          <w:b/>
          <w:bCs/>
        </w:rPr>
      </w:pPr>
    </w:p>
    <w:p w14:paraId="4160565F" w14:textId="77777777" w:rsidR="00C07961" w:rsidRPr="001B0867" w:rsidRDefault="00C07961" w:rsidP="00C07961">
      <w:pPr>
        <w:rPr>
          <w:rFonts w:asciiTheme="majorHAnsi" w:hAnsiTheme="majorHAnsi"/>
          <w:b/>
          <w:bCs/>
        </w:rPr>
      </w:pPr>
    </w:p>
    <w:p w14:paraId="27DE4AB0" w14:textId="77777777" w:rsidR="00C07961" w:rsidRPr="001B0867" w:rsidRDefault="00C07961" w:rsidP="00C07961">
      <w:pPr>
        <w:rPr>
          <w:rFonts w:asciiTheme="majorHAnsi" w:hAnsiTheme="majorHAnsi"/>
          <w:b/>
          <w:bCs/>
        </w:rPr>
      </w:pPr>
    </w:p>
    <w:p w14:paraId="15E4030E" w14:textId="77777777" w:rsidR="00C07961" w:rsidRPr="001B0867" w:rsidRDefault="00C07961" w:rsidP="00C07961">
      <w:pPr>
        <w:rPr>
          <w:rFonts w:asciiTheme="majorHAnsi" w:hAnsiTheme="majorHAnsi"/>
          <w:b/>
          <w:bCs/>
        </w:rPr>
      </w:pPr>
    </w:p>
    <w:tbl>
      <w:tblPr>
        <w:tblW w:w="4881" w:type="pct"/>
        <w:tblInd w:w="108" w:type="dxa"/>
        <w:tblLayout w:type="fixed"/>
        <w:tblLook w:val="0000" w:firstRow="0" w:lastRow="0" w:firstColumn="0" w:lastColumn="0" w:noHBand="0" w:noVBand="0"/>
      </w:tblPr>
      <w:tblGrid>
        <w:gridCol w:w="2180"/>
        <w:gridCol w:w="2295"/>
        <w:gridCol w:w="2295"/>
        <w:gridCol w:w="2252"/>
      </w:tblGrid>
      <w:tr w:rsidR="00C07961" w:rsidRPr="001B0867" w14:paraId="3A5F912F" w14:textId="77777777" w:rsidTr="00CB7DF9">
        <w:trPr>
          <w:trHeight w:val="1311"/>
        </w:trPr>
        <w:tc>
          <w:tcPr>
            <w:tcW w:w="1208" w:type="pct"/>
          </w:tcPr>
          <w:p w14:paraId="6755DDA4" w14:textId="77777777" w:rsidR="00C07961" w:rsidRPr="001B0867" w:rsidRDefault="000E1304" w:rsidP="00CB7DF9">
            <w:pPr>
              <w:rPr>
                <w:rFonts w:asciiTheme="majorHAnsi" w:hAnsiTheme="majorHAnsi"/>
              </w:rPr>
            </w:pPr>
            <w:r w:rsidRPr="001B0867">
              <w:rPr>
                <w:rFonts w:asciiTheme="majorHAnsi" w:hAnsiTheme="majorHAnsi"/>
                <w:noProof/>
                <w:sz w:val="24"/>
                <w:lang w:val="en-US" w:eastAsia="en-US"/>
              </w:rPr>
              <w:drawing>
                <wp:inline distT="0" distB="0" distL="0" distR="0" wp14:anchorId="1441C994" wp14:editId="3ADEEE8F">
                  <wp:extent cx="977900" cy="648335"/>
                  <wp:effectExtent l="0" t="0" r="12700" b="12065"/>
                  <wp:docPr id="2" name="Picture 0" descr="logocolo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colour.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7900" cy="648335"/>
                          </a:xfrm>
                          <a:prstGeom prst="rect">
                            <a:avLst/>
                          </a:prstGeom>
                          <a:noFill/>
                          <a:ln>
                            <a:noFill/>
                          </a:ln>
                        </pic:spPr>
                      </pic:pic>
                    </a:graphicData>
                  </a:graphic>
                </wp:inline>
              </w:drawing>
            </w:r>
          </w:p>
        </w:tc>
        <w:tc>
          <w:tcPr>
            <w:tcW w:w="1272" w:type="pct"/>
          </w:tcPr>
          <w:p w14:paraId="6424C733" w14:textId="77777777" w:rsidR="00C07961" w:rsidRPr="001B0867" w:rsidRDefault="00FF0235" w:rsidP="00CB7DF9">
            <w:pPr>
              <w:jc w:val="center"/>
              <w:rPr>
                <w:rFonts w:asciiTheme="majorHAnsi" w:hAnsiTheme="majorHAnsi"/>
              </w:rPr>
            </w:pPr>
            <w:r w:rsidRPr="00FA3439">
              <w:rPr>
                <w:noProof/>
                <w:color w:val="548DD4" w:themeColor="text2" w:themeTint="99"/>
                <w:lang w:val="en-US" w:eastAsia="en-US"/>
              </w:rPr>
              <w:drawing>
                <wp:inline distT="0" distB="0" distL="0" distR="0" wp14:anchorId="1572BBD8" wp14:editId="6D9D036A">
                  <wp:extent cx="1136786" cy="680483"/>
                  <wp:effectExtent l="0" t="0" r="0" b="0"/>
                  <wp:docPr id="7" name="Picture 3" descr="Colour MSC logo with name CENTRED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MSC logo with name CENTRED SMALL.jpg"/>
                          <pic:cNvPicPr/>
                        </pic:nvPicPr>
                        <pic:blipFill>
                          <a:blip r:embed="rId11"/>
                          <a:stretch>
                            <a:fillRect/>
                          </a:stretch>
                        </pic:blipFill>
                        <pic:spPr>
                          <a:xfrm>
                            <a:off x="0" y="0"/>
                            <a:ext cx="1142964" cy="684181"/>
                          </a:xfrm>
                          <a:prstGeom prst="rect">
                            <a:avLst/>
                          </a:prstGeom>
                        </pic:spPr>
                      </pic:pic>
                    </a:graphicData>
                  </a:graphic>
                </wp:inline>
              </w:drawing>
            </w:r>
          </w:p>
        </w:tc>
        <w:tc>
          <w:tcPr>
            <w:tcW w:w="1272" w:type="pct"/>
          </w:tcPr>
          <w:p w14:paraId="71FADB92" w14:textId="77777777" w:rsidR="00C07961" w:rsidRPr="001B0867" w:rsidRDefault="000E1304" w:rsidP="00FF0235">
            <w:pPr>
              <w:rPr>
                <w:rFonts w:asciiTheme="majorHAnsi" w:hAnsiTheme="majorHAnsi"/>
              </w:rPr>
            </w:pPr>
            <w:r w:rsidRPr="001B0867">
              <w:rPr>
                <w:rFonts w:asciiTheme="majorHAnsi" w:hAnsiTheme="majorHAnsi"/>
                <w:noProof/>
                <w:sz w:val="24"/>
                <w:lang w:val="en-US" w:eastAsia="en-US"/>
              </w:rPr>
              <w:drawing>
                <wp:inline distT="0" distB="0" distL="0" distR="0" wp14:anchorId="3B98F152" wp14:editId="756E9B58">
                  <wp:extent cx="1286510" cy="542290"/>
                  <wp:effectExtent l="0" t="0" r="889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6510" cy="542290"/>
                          </a:xfrm>
                          <a:prstGeom prst="rect">
                            <a:avLst/>
                          </a:prstGeom>
                          <a:noFill/>
                          <a:ln>
                            <a:noFill/>
                          </a:ln>
                        </pic:spPr>
                      </pic:pic>
                    </a:graphicData>
                  </a:graphic>
                </wp:inline>
              </w:drawing>
            </w:r>
          </w:p>
        </w:tc>
        <w:tc>
          <w:tcPr>
            <w:tcW w:w="1249" w:type="pct"/>
          </w:tcPr>
          <w:p w14:paraId="3FC66D65" w14:textId="77777777" w:rsidR="00C07961" w:rsidRPr="001B0867" w:rsidRDefault="00FF0235" w:rsidP="00FF0235">
            <w:pPr>
              <w:rPr>
                <w:rFonts w:asciiTheme="majorHAnsi" w:hAnsiTheme="majorHAnsi"/>
              </w:rPr>
            </w:pPr>
            <w:r>
              <w:rPr>
                <w:rFonts w:asciiTheme="majorHAnsi" w:hAnsiTheme="majorHAnsi"/>
                <w:noProof/>
                <w:lang w:val="en-US" w:eastAsia="en-US"/>
              </w:rPr>
              <w:drawing>
                <wp:inline distT="0" distB="0" distL="0" distR="0" wp14:anchorId="2F4A86E4" wp14:editId="59259F7C">
                  <wp:extent cx="999461" cy="6591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 NZ Black.jpg"/>
                          <pic:cNvPicPr/>
                        </pic:nvPicPr>
                        <pic:blipFill>
                          <a:blip r:embed="rId13">
                            <a:extLst>
                              <a:ext uri="{28A0092B-C50C-407E-A947-70E740481C1C}">
                                <a14:useLocalDpi xmlns:a14="http://schemas.microsoft.com/office/drawing/2010/main" val="0"/>
                              </a:ext>
                            </a:extLst>
                          </a:blip>
                          <a:stretch>
                            <a:fillRect/>
                          </a:stretch>
                        </pic:blipFill>
                        <pic:spPr>
                          <a:xfrm>
                            <a:off x="0" y="0"/>
                            <a:ext cx="999594" cy="659218"/>
                          </a:xfrm>
                          <a:prstGeom prst="rect">
                            <a:avLst/>
                          </a:prstGeom>
                        </pic:spPr>
                      </pic:pic>
                    </a:graphicData>
                  </a:graphic>
                </wp:inline>
              </w:drawing>
            </w:r>
          </w:p>
        </w:tc>
      </w:tr>
      <w:tr w:rsidR="00C07961" w:rsidRPr="001B0867" w14:paraId="78CA5EFE" w14:textId="77777777" w:rsidTr="00CB7DF9">
        <w:tc>
          <w:tcPr>
            <w:tcW w:w="5000" w:type="pct"/>
            <w:gridSpan w:val="4"/>
          </w:tcPr>
          <w:p w14:paraId="7F519B93" w14:textId="77777777" w:rsidR="00C07961" w:rsidRPr="001B0867" w:rsidRDefault="00C07961" w:rsidP="00FF0235">
            <w:pPr>
              <w:spacing w:before="80" w:after="0"/>
              <w:jc w:val="center"/>
              <w:rPr>
                <w:rFonts w:asciiTheme="majorHAnsi" w:hAnsiTheme="majorHAnsi"/>
                <w:b/>
                <w:bCs/>
              </w:rPr>
            </w:pPr>
            <w:r w:rsidRPr="001B0867">
              <w:rPr>
                <w:rFonts w:asciiTheme="majorHAnsi" w:hAnsiTheme="majorHAnsi"/>
                <w:b/>
                <w:bCs/>
              </w:rPr>
              <w:t>An EONZ-</w:t>
            </w:r>
            <w:r w:rsidR="00FF0235">
              <w:rPr>
                <w:rFonts w:asciiTheme="majorHAnsi" w:hAnsiTheme="majorHAnsi"/>
                <w:b/>
                <w:bCs/>
              </w:rPr>
              <w:t xml:space="preserve"> MSC-NZAEE project funded by Sport New Zealand</w:t>
            </w:r>
          </w:p>
        </w:tc>
      </w:tr>
    </w:tbl>
    <w:p w14:paraId="06AB3B93" w14:textId="77777777" w:rsidR="00621169" w:rsidRPr="001B0867" w:rsidRDefault="00621169">
      <w:pPr>
        <w:rPr>
          <w:rFonts w:asciiTheme="majorHAnsi" w:hAnsiTheme="majorHAnsi"/>
        </w:rPr>
      </w:pPr>
    </w:p>
    <w:p w14:paraId="72192F45" w14:textId="77777777" w:rsidR="00C07961" w:rsidRPr="001B0867" w:rsidRDefault="00C07961">
      <w:pPr>
        <w:rPr>
          <w:rFonts w:asciiTheme="majorHAnsi" w:hAnsiTheme="majorHAnsi"/>
        </w:rPr>
      </w:pPr>
    </w:p>
    <w:p w14:paraId="4B376519" w14:textId="77777777" w:rsidR="00C07961" w:rsidRPr="001B0867" w:rsidRDefault="00C07961">
      <w:pPr>
        <w:rPr>
          <w:rFonts w:asciiTheme="majorHAnsi" w:hAnsiTheme="majorHAnsi"/>
        </w:rPr>
      </w:pPr>
    </w:p>
    <w:p w14:paraId="272E53D0" w14:textId="77777777" w:rsidR="00406D27" w:rsidRPr="001B0867" w:rsidRDefault="00406D27">
      <w:pPr>
        <w:rPr>
          <w:rFonts w:asciiTheme="majorHAnsi" w:hAnsiTheme="majorHAnsi"/>
        </w:rPr>
      </w:pPr>
    </w:p>
    <w:p w14:paraId="65226CBC" w14:textId="5A10E885" w:rsidR="00406D27" w:rsidRPr="001B0867" w:rsidRDefault="00330E85" w:rsidP="00E367C5">
      <w:pPr>
        <w:pStyle w:val="Title"/>
        <w:jc w:val="left"/>
        <w:rPr>
          <w:rFonts w:asciiTheme="majorHAnsi" w:hAnsiTheme="majorHAnsi"/>
        </w:rPr>
      </w:pPr>
      <w:r w:rsidRPr="001B0867">
        <w:rPr>
          <w:rFonts w:asciiTheme="majorHAnsi" w:hAnsiTheme="majorHAnsi"/>
        </w:rPr>
        <w:lastRenderedPageBreak/>
        <w:t xml:space="preserve">Workshop </w:t>
      </w:r>
      <w:r w:rsidR="00E91059">
        <w:rPr>
          <w:rFonts w:asciiTheme="majorHAnsi" w:hAnsiTheme="majorHAnsi"/>
        </w:rPr>
        <w:t xml:space="preserve">1 </w:t>
      </w:r>
      <w:r w:rsidR="00C07961" w:rsidRPr="001B0867">
        <w:rPr>
          <w:rFonts w:asciiTheme="majorHAnsi" w:hAnsiTheme="majorHAnsi"/>
        </w:rPr>
        <w:t>Contents</w:t>
      </w:r>
    </w:p>
    <w:p w14:paraId="74B267F9" w14:textId="77777777" w:rsidR="00406D27" w:rsidRPr="001B0867" w:rsidRDefault="00406D27" w:rsidP="00406D27">
      <w:pPr>
        <w:rPr>
          <w:rFonts w:asciiTheme="majorHAnsi" w:hAnsiTheme="majorHAnsi"/>
        </w:rPr>
      </w:pPr>
      <w:r w:rsidRPr="001B0867">
        <w:rPr>
          <w:rFonts w:asciiTheme="majorHAnsi" w:hAnsiTheme="majorHAnsi"/>
        </w:rPr>
        <w:t>Workshop introduction and programme summary</w:t>
      </w:r>
    </w:p>
    <w:p w14:paraId="7B4BA913" w14:textId="77777777" w:rsidR="00406D27" w:rsidRPr="001B0867" w:rsidRDefault="00406D27" w:rsidP="00406D27">
      <w:pPr>
        <w:rPr>
          <w:rFonts w:asciiTheme="majorHAnsi" w:hAnsiTheme="majorHAnsi"/>
        </w:rPr>
      </w:pPr>
      <w:r w:rsidRPr="001B0867">
        <w:rPr>
          <w:rFonts w:asciiTheme="majorHAnsi" w:hAnsiTheme="majorHAnsi"/>
        </w:rPr>
        <w:t>Welcome and Setting the scene</w:t>
      </w:r>
    </w:p>
    <w:p w14:paraId="20A23437" w14:textId="77777777" w:rsidR="00406D27" w:rsidRPr="001B0867" w:rsidRDefault="00331F5A" w:rsidP="00406D27">
      <w:pPr>
        <w:rPr>
          <w:rFonts w:asciiTheme="majorHAnsi" w:hAnsiTheme="majorHAnsi"/>
        </w:rPr>
      </w:pPr>
      <w:r w:rsidRPr="001B0867">
        <w:rPr>
          <w:rFonts w:asciiTheme="majorHAnsi" w:hAnsiTheme="majorHAnsi"/>
        </w:rPr>
        <w:t xml:space="preserve">Module 1 </w:t>
      </w:r>
      <w:r w:rsidR="00406D27" w:rsidRPr="001B0867">
        <w:rPr>
          <w:rFonts w:asciiTheme="majorHAnsi" w:hAnsiTheme="majorHAnsi"/>
        </w:rPr>
        <w:t>Bringing the Curriculum Alive (EOTC Guidelines chapter 1)</w:t>
      </w:r>
    </w:p>
    <w:p w14:paraId="09B9F4A1" w14:textId="77777777" w:rsidR="00406D27" w:rsidRPr="001B0867" w:rsidRDefault="00331F5A" w:rsidP="00406D27">
      <w:pPr>
        <w:rPr>
          <w:rFonts w:asciiTheme="majorHAnsi" w:hAnsiTheme="majorHAnsi"/>
        </w:rPr>
      </w:pPr>
      <w:r w:rsidRPr="001B0867">
        <w:rPr>
          <w:rFonts w:asciiTheme="majorHAnsi" w:hAnsiTheme="majorHAnsi"/>
        </w:rPr>
        <w:t xml:space="preserve">Module 2 </w:t>
      </w:r>
      <w:r w:rsidR="00406D27" w:rsidRPr="001B0867">
        <w:rPr>
          <w:rFonts w:asciiTheme="majorHAnsi" w:hAnsiTheme="majorHAnsi"/>
        </w:rPr>
        <w:t>Learning Safely: A shared responsibility (EOTC Guidelines chapter 2)</w:t>
      </w:r>
    </w:p>
    <w:p w14:paraId="3DEA8560" w14:textId="77777777" w:rsidR="00406D27" w:rsidRPr="001B0867" w:rsidRDefault="00331F5A" w:rsidP="00406D27">
      <w:pPr>
        <w:rPr>
          <w:rFonts w:asciiTheme="majorHAnsi" w:hAnsiTheme="majorHAnsi"/>
        </w:rPr>
      </w:pPr>
      <w:r w:rsidRPr="001B0867">
        <w:rPr>
          <w:rFonts w:asciiTheme="majorHAnsi" w:hAnsiTheme="majorHAnsi"/>
        </w:rPr>
        <w:t xml:space="preserve">Module 3 </w:t>
      </w:r>
      <w:r w:rsidR="00406D27" w:rsidRPr="001B0867">
        <w:rPr>
          <w:rFonts w:asciiTheme="majorHAnsi" w:hAnsiTheme="majorHAnsi"/>
        </w:rPr>
        <w:t>Planning (EOTC Guidelines chapter 3)</w:t>
      </w:r>
    </w:p>
    <w:p w14:paraId="690B9940" w14:textId="77777777" w:rsidR="00406D27" w:rsidRPr="001B0867" w:rsidRDefault="00331F5A" w:rsidP="00406D27">
      <w:pPr>
        <w:rPr>
          <w:rFonts w:asciiTheme="majorHAnsi" w:hAnsiTheme="majorHAnsi"/>
        </w:rPr>
      </w:pPr>
      <w:r w:rsidRPr="001B0867">
        <w:rPr>
          <w:rFonts w:asciiTheme="majorHAnsi" w:hAnsiTheme="majorHAnsi"/>
        </w:rPr>
        <w:t xml:space="preserve">Module 4 </w:t>
      </w:r>
      <w:r w:rsidR="00406D27" w:rsidRPr="001B0867">
        <w:rPr>
          <w:rFonts w:asciiTheme="majorHAnsi" w:hAnsiTheme="majorHAnsi"/>
        </w:rPr>
        <w:t>Staffing and supervision (EOTC Guidelines chapter 4)</w:t>
      </w:r>
    </w:p>
    <w:p w14:paraId="7D03233C" w14:textId="77777777" w:rsidR="00406D27" w:rsidRPr="001B0867" w:rsidRDefault="00331F5A" w:rsidP="00406D27">
      <w:pPr>
        <w:rPr>
          <w:rFonts w:asciiTheme="majorHAnsi" w:hAnsiTheme="majorHAnsi"/>
        </w:rPr>
      </w:pPr>
      <w:r w:rsidRPr="001B0867">
        <w:rPr>
          <w:rFonts w:asciiTheme="majorHAnsi" w:hAnsiTheme="majorHAnsi"/>
        </w:rPr>
        <w:t xml:space="preserve">Module 5 </w:t>
      </w:r>
      <w:r w:rsidR="00406D27" w:rsidRPr="001B0867">
        <w:rPr>
          <w:rFonts w:asciiTheme="majorHAnsi" w:hAnsiTheme="majorHAnsi"/>
        </w:rPr>
        <w:t>Contractors, providers and volunteers (EOTC Guidelines chapters 4 &amp; 5)</w:t>
      </w:r>
    </w:p>
    <w:p w14:paraId="7C6B9FB7" w14:textId="77777777" w:rsidR="00406D27" w:rsidRPr="001B0867" w:rsidRDefault="00331F5A" w:rsidP="00406D27">
      <w:pPr>
        <w:rPr>
          <w:rFonts w:asciiTheme="majorHAnsi" w:hAnsiTheme="majorHAnsi"/>
        </w:rPr>
      </w:pPr>
      <w:r w:rsidRPr="001B0867">
        <w:rPr>
          <w:rFonts w:asciiTheme="majorHAnsi" w:hAnsiTheme="majorHAnsi"/>
        </w:rPr>
        <w:t xml:space="preserve">Module 6 </w:t>
      </w:r>
      <w:r w:rsidR="00C50840" w:rsidRPr="001B0867">
        <w:rPr>
          <w:rFonts w:asciiTheme="majorHAnsi" w:hAnsiTheme="majorHAnsi"/>
        </w:rPr>
        <w:t>Legal responsibilities,</w:t>
      </w:r>
      <w:r w:rsidR="00406D27" w:rsidRPr="001B0867">
        <w:rPr>
          <w:rFonts w:asciiTheme="majorHAnsi" w:hAnsiTheme="majorHAnsi"/>
        </w:rPr>
        <w:t xml:space="preserve"> codes of practice and accepted best practice (EOTC Guidelines chapters 6 &amp; 7)</w:t>
      </w:r>
    </w:p>
    <w:p w14:paraId="47DB377A" w14:textId="77777777" w:rsidR="00406D27" w:rsidRPr="001B0867" w:rsidRDefault="00331F5A" w:rsidP="00406D27">
      <w:pPr>
        <w:rPr>
          <w:rFonts w:asciiTheme="majorHAnsi" w:hAnsiTheme="majorHAnsi"/>
        </w:rPr>
      </w:pPr>
      <w:r w:rsidRPr="001B0867">
        <w:rPr>
          <w:rFonts w:asciiTheme="majorHAnsi" w:hAnsiTheme="majorHAnsi"/>
        </w:rPr>
        <w:t xml:space="preserve">Module 7 </w:t>
      </w:r>
      <w:r w:rsidR="00406D27" w:rsidRPr="001B0867">
        <w:rPr>
          <w:rFonts w:asciiTheme="majorHAnsi" w:hAnsiTheme="majorHAnsi"/>
        </w:rPr>
        <w:t>Emergency preparedness (EOTC Guidelines chapter 8)</w:t>
      </w:r>
    </w:p>
    <w:p w14:paraId="745FD2DC" w14:textId="1B293550" w:rsidR="00AB7E5D" w:rsidRPr="001B0867" w:rsidRDefault="00406D27" w:rsidP="00AB7E5D">
      <w:pPr>
        <w:spacing w:after="240"/>
        <w:rPr>
          <w:rFonts w:asciiTheme="majorHAnsi" w:hAnsiTheme="majorHAnsi"/>
        </w:rPr>
      </w:pPr>
      <w:r w:rsidRPr="001B0867">
        <w:rPr>
          <w:rFonts w:asciiTheme="majorHAnsi" w:hAnsiTheme="majorHAnsi"/>
        </w:rPr>
        <w:t>Wrap up and Evaluation</w:t>
      </w:r>
    </w:p>
    <w:p w14:paraId="4139E0FF" w14:textId="77777777" w:rsidR="00406D27" w:rsidRPr="001B0867" w:rsidRDefault="006E76AA" w:rsidP="00406D27">
      <w:pPr>
        <w:rPr>
          <w:rFonts w:asciiTheme="majorHAnsi" w:hAnsiTheme="majorHAnsi"/>
          <w:b/>
        </w:rPr>
      </w:pPr>
      <w:r w:rsidRPr="001B0867">
        <w:rPr>
          <w:rFonts w:asciiTheme="majorHAnsi" w:hAnsiTheme="majorHAnsi"/>
          <w:b/>
        </w:rPr>
        <w:t>Background information</w:t>
      </w:r>
    </w:p>
    <w:p w14:paraId="64797425" w14:textId="77777777" w:rsidR="004423FE" w:rsidRPr="001B0867" w:rsidRDefault="004423FE" w:rsidP="004423FE">
      <w:pPr>
        <w:pStyle w:val="ColorfulList-Accent11"/>
        <w:numPr>
          <w:ilvl w:val="0"/>
          <w:numId w:val="5"/>
        </w:numPr>
        <w:rPr>
          <w:rFonts w:asciiTheme="majorHAnsi" w:hAnsiTheme="majorHAnsi"/>
        </w:rPr>
      </w:pPr>
      <w:r w:rsidRPr="001B0867">
        <w:rPr>
          <w:rFonts w:asciiTheme="majorHAnsi" w:hAnsiTheme="majorHAnsi"/>
        </w:rPr>
        <w:t>Welcome &amp; Setting the scene resource</w:t>
      </w:r>
    </w:p>
    <w:p w14:paraId="2269A3A8" w14:textId="77777777" w:rsidR="00CB7DF9" w:rsidRDefault="00406D27" w:rsidP="005128BC">
      <w:pPr>
        <w:pStyle w:val="ColorfulList-Accent11"/>
        <w:numPr>
          <w:ilvl w:val="0"/>
          <w:numId w:val="5"/>
        </w:numPr>
        <w:rPr>
          <w:rFonts w:asciiTheme="majorHAnsi" w:hAnsiTheme="majorHAnsi"/>
        </w:rPr>
      </w:pPr>
      <w:r w:rsidRPr="001B0867">
        <w:rPr>
          <w:rFonts w:asciiTheme="majorHAnsi" w:hAnsiTheme="majorHAnsi"/>
        </w:rPr>
        <w:t>Education for sustainability and education outside the classroom</w:t>
      </w:r>
    </w:p>
    <w:p w14:paraId="553FB162" w14:textId="5FBF82DE" w:rsidR="00E367C5" w:rsidRPr="001B0867" w:rsidRDefault="00E367C5" w:rsidP="005128BC">
      <w:pPr>
        <w:pStyle w:val="ColorfulList-Accent11"/>
        <w:numPr>
          <w:ilvl w:val="0"/>
          <w:numId w:val="5"/>
        </w:numPr>
        <w:rPr>
          <w:rFonts w:asciiTheme="majorHAnsi" w:hAnsiTheme="majorHAnsi"/>
        </w:rPr>
      </w:pPr>
      <w:r>
        <w:rPr>
          <w:rFonts w:asciiTheme="majorHAnsi" w:hAnsiTheme="majorHAnsi"/>
        </w:rPr>
        <w:t xml:space="preserve">Systems approach </w:t>
      </w:r>
      <w:r w:rsidR="00AB7E5D">
        <w:rPr>
          <w:rFonts w:asciiTheme="majorHAnsi" w:hAnsiTheme="majorHAnsi"/>
        </w:rPr>
        <w:t>overview</w:t>
      </w:r>
    </w:p>
    <w:p w14:paraId="49B8334E" w14:textId="77777777" w:rsidR="00CB7DF9" w:rsidRPr="001B0867" w:rsidRDefault="00406D27" w:rsidP="005128BC">
      <w:pPr>
        <w:pStyle w:val="ColorfulList-Accent11"/>
        <w:numPr>
          <w:ilvl w:val="0"/>
          <w:numId w:val="5"/>
        </w:numPr>
        <w:rPr>
          <w:rFonts w:asciiTheme="majorHAnsi" w:hAnsiTheme="majorHAnsi"/>
        </w:rPr>
      </w:pPr>
      <w:r w:rsidRPr="001B0867">
        <w:rPr>
          <w:rFonts w:asciiTheme="majorHAnsi" w:hAnsiTheme="majorHAnsi"/>
        </w:rPr>
        <w:t>The Mangatepopo Incident</w:t>
      </w:r>
    </w:p>
    <w:p w14:paraId="3A9517EB" w14:textId="70CF46B2" w:rsidR="00AB41C1" w:rsidRPr="007B6E89" w:rsidRDefault="00AB41C1" w:rsidP="00AB41C1">
      <w:pPr>
        <w:pStyle w:val="ColorfulList-Accent11"/>
        <w:numPr>
          <w:ilvl w:val="0"/>
          <w:numId w:val="5"/>
        </w:numPr>
        <w:rPr>
          <w:rFonts w:asciiTheme="majorHAnsi" w:hAnsiTheme="majorHAnsi"/>
        </w:rPr>
      </w:pPr>
      <w:r w:rsidRPr="007B6E89">
        <w:rPr>
          <w:rFonts w:asciiTheme="majorHAnsi" w:hAnsiTheme="majorHAnsi"/>
        </w:rPr>
        <w:t>Leader qualifications</w:t>
      </w:r>
    </w:p>
    <w:p w14:paraId="04C37162" w14:textId="77777777" w:rsidR="00CB7DF9" w:rsidRPr="001B0867" w:rsidRDefault="00406D27" w:rsidP="005128BC">
      <w:pPr>
        <w:pStyle w:val="ColorfulList-Accent11"/>
        <w:numPr>
          <w:ilvl w:val="0"/>
          <w:numId w:val="5"/>
        </w:numPr>
        <w:rPr>
          <w:rFonts w:asciiTheme="majorHAnsi" w:hAnsiTheme="majorHAnsi"/>
        </w:rPr>
      </w:pPr>
      <w:r w:rsidRPr="001B0867">
        <w:rPr>
          <w:rFonts w:asciiTheme="majorHAnsi" w:hAnsiTheme="majorHAnsi"/>
        </w:rPr>
        <w:t xml:space="preserve">Learning from fatalities in outdoor education </w:t>
      </w:r>
    </w:p>
    <w:p w14:paraId="58E17C5D" w14:textId="77777777" w:rsidR="002C4F11" w:rsidRPr="00AD7B93" w:rsidRDefault="002C4F11" w:rsidP="005128BC">
      <w:pPr>
        <w:pStyle w:val="ColorfulList-Accent11"/>
        <w:numPr>
          <w:ilvl w:val="0"/>
          <w:numId w:val="5"/>
        </w:numPr>
        <w:rPr>
          <w:rFonts w:asciiTheme="majorHAnsi" w:hAnsiTheme="majorHAnsi"/>
        </w:rPr>
      </w:pPr>
      <w:r w:rsidRPr="00AD7B93">
        <w:rPr>
          <w:rFonts w:asciiTheme="majorHAnsi" w:hAnsiTheme="majorHAnsi"/>
        </w:rPr>
        <w:t xml:space="preserve">Outdoor Education Centre emergency plan practice </w:t>
      </w:r>
    </w:p>
    <w:p w14:paraId="5D6CEBBA" w14:textId="77777777" w:rsidR="00CB7DF9" w:rsidRPr="002C4F11" w:rsidRDefault="00406D27" w:rsidP="005128BC">
      <w:pPr>
        <w:pStyle w:val="ColorfulList-Accent11"/>
        <w:numPr>
          <w:ilvl w:val="0"/>
          <w:numId w:val="5"/>
        </w:numPr>
        <w:rPr>
          <w:rFonts w:asciiTheme="majorHAnsi" w:hAnsiTheme="majorHAnsi"/>
        </w:rPr>
      </w:pPr>
      <w:r w:rsidRPr="002C4F11">
        <w:rPr>
          <w:rFonts w:asciiTheme="majorHAnsi" w:hAnsiTheme="majorHAnsi"/>
        </w:rPr>
        <w:t>The National Incident Database (NID)</w:t>
      </w:r>
    </w:p>
    <w:p w14:paraId="369C26A6" w14:textId="77777777" w:rsidR="00CB7DF9" w:rsidRPr="001B0867" w:rsidRDefault="00331F5A" w:rsidP="005128BC">
      <w:pPr>
        <w:pStyle w:val="ColorfulList-Accent11"/>
        <w:numPr>
          <w:ilvl w:val="0"/>
          <w:numId w:val="5"/>
        </w:numPr>
        <w:rPr>
          <w:rFonts w:asciiTheme="majorHAnsi" w:hAnsiTheme="majorHAnsi"/>
        </w:rPr>
      </w:pPr>
      <w:r w:rsidRPr="001B0867">
        <w:rPr>
          <w:rFonts w:asciiTheme="majorHAnsi" w:hAnsiTheme="majorHAnsi"/>
        </w:rPr>
        <w:t>Severity Rating</w:t>
      </w:r>
      <w:r w:rsidR="00C50840" w:rsidRPr="001B0867">
        <w:rPr>
          <w:rFonts w:asciiTheme="majorHAnsi" w:hAnsiTheme="majorHAnsi"/>
        </w:rPr>
        <w:t xml:space="preserve"> and </w:t>
      </w:r>
      <w:r w:rsidR="00C50840" w:rsidRPr="006927AC">
        <w:rPr>
          <w:rFonts w:asciiTheme="majorHAnsi" w:hAnsiTheme="majorHAnsi"/>
        </w:rPr>
        <w:t>severity scale</w:t>
      </w:r>
    </w:p>
    <w:p w14:paraId="1F836D3F" w14:textId="77777777" w:rsidR="00CB7DF9" w:rsidRPr="001B0867" w:rsidRDefault="00331F5A" w:rsidP="005128BC">
      <w:pPr>
        <w:pStyle w:val="ColorfulList-Accent11"/>
        <w:numPr>
          <w:ilvl w:val="0"/>
          <w:numId w:val="5"/>
        </w:numPr>
        <w:rPr>
          <w:rFonts w:asciiTheme="majorHAnsi" w:hAnsiTheme="majorHAnsi"/>
        </w:rPr>
      </w:pPr>
      <w:r w:rsidRPr="001B0867">
        <w:rPr>
          <w:rFonts w:asciiTheme="majorHAnsi" w:hAnsiTheme="majorHAnsi"/>
        </w:rPr>
        <w:t>Why record near misses</w:t>
      </w:r>
    </w:p>
    <w:p w14:paraId="1002D38B" w14:textId="77777777" w:rsidR="001D56DD" w:rsidRPr="001B0867" w:rsidRDefault="00C51B29" w:rsidP="00406D27">
      <w:pPr>
        <w:rPr>
          <w:rFonts w:asciiTheme="majorHAnsi" w:hAnsiTheme="majorHAnsi"/>
          <w:b/>
        </w:rPr>
      </w:pPr>
      <w:r w:rsidRPr="001B0867">
        <w:rPr>
          <w:rFonts w:asciiTheme="majorHAnsi" w:hAnsiTheme="majorHAnsi"/>
          <w:b/>
        </w:rPr>
        <w:t>Supporting resources</w:t>
      </w:r>
    </w:p>
    <w:p w14:paraId="577A442D" w14:textId="77777777" w:rsidR="006E76AA" w:rsidRPr="001B0867" w:rsidRDefault="006E76AA" w:rsidP="00BA23ED">
      <w:pPr>
        <w:pStyle w:val="ColorfulList-Accent11"/>
        <w:numPr>
          <w:ilvl w:val="0"/>
          <w:numId w:val="6"/>
        </w:numPr>
        <w:ind w:left="714" w:hanging="357"/>
        <w:rPr>
          <w:rFonts w:asciiTheme="majorHAnsi" w:hAnsiTheme="majorHAnsi"/>
        </w:rPr>
      </w:pPr>
      <w:r w:rsidRPr="001B0867">
        <w:rPr>
          <w:rFonts w:asciiTheme="majorHAnsi" w:hAnsiTheme="majorHAnsi"/>
        </w:rPr>
        <w:t>Powerpoint presentation</w:t>
      </w:r>
    </w:p>
    <w:p w14:paraId="08965389" w14:textId="77777777" w:rsidR="006E76AA" w:rsidRPr="007B6E89" w:rsidRDefault="006E76AA" w:rsidP="00BA23ED">
      <w:pPr>
        <w:pStyle w:val="ColorfulList-Accent11"/>
        <w:numPr>
          <w:ilvl w:val="0"/>
          <w:numId w:val="6"/>
        </w:numPr>
        <w:ind w:left="714" w:hanging="357"/>
        <w:rPr>
          <w:rFonts w:asciiTheme="majorHAnsi" w:hAnsiTheme="majorHAnsi"/>
        </w:rPr>
      </w:pPr>
      <w:r w:rsidRPr="007B6E89">
        <w:rPr>
          <w:rFonts w:asciiTheme="majorHAnsi" w:hAnsiTheme="majorHAnsi"/>
        </w:rPr>
        <w:t>Participant Workbook</w:t>
      </w:r>
    </w:p>
    <w:p w14:paraId="0A0F5270" w14:textId="7F0C9824" w:rsidR="006E76AA" w:rsidRPr="007B6E89" w:rsidRDefault="006E76AA" w:rsidP="006E76AA">
      <w:pPr>
        <w:pStyle w:val="ColorfulList-Accent11"/>
        <w:numPr>
          <w:ilvl w:val="0"/>
          <w:numId w:val="6"/>
        </w:numPr>
        <w:rPr>
          <w:rFonts w:asciiTheme="majorHAnsi" w:hAnsiTheme="majorHAnsi"/>
        </w:rPr>
      </w:pPr>
      <w:r w:rsidRPr="007B6E89">
        <w:rPr>
          <w:rFonts w:asciiTheme="majorHAnsi" w:hAnsiTheme="majorHAnsi"/>
        </w:rPr>
        <w:t>Loburn DVD clip</w:t>
      </w:r>
      <w:r w:rsidR="007B6E89" w:rsidRPr="007B6E89">
        <w:rPr>
          <w:rFonts w:asciiTheme="majorHAnsi" w:hAnsiTheme="majorHAnsi"/>
        </w:rPr>
        <w:t>s</w:t>
      </w:r>
    </w:p>
    <w:p w14:paraId="08DA57DA" w14:textId="77777777" w:rsidR="00BA23ED" w:rsidRPr="001B0867" w:rsidRDefault="00BA23ED" w:rsidP="001B0867">
      <w:pPr>
        <w:pStyle w:val="ColorfulList-Accent11"/>
        <w:numPr>
          <w:ilvl w:val="0"/>
          <w:numId w:val="6"/>
        </w:numPr>
        <w:spacing w:after="0"/>
        <w:ind w:left="714" w:hanging="357"/>
        <w:contextualSpacing w:val="0"/>
        <w:rPr>
          <w:rFonts w:asciiTheme="majorHAnsi" w:hAnsiTheme="majorHAnsi"/>
        </w:rPr>
      </w:pPr>
      <w:r w:rsidRPr="001B0867">
        <w:rPr>
          <w:rFonts w:asciiTheme="majorHAnsi" w:hAnsiTheme="majorHAnsi"/>
        </w:rPr>
        <w:t>Sound log activity</w:t>
      </w:r>
    </w:p>
    <w:p w14:paraId="3B68EC69" w14:textId="77777777" w:rsidR="00BA23ED" w:rsidRPr="001B0867" w:rsidRDefault="00BA23ED" w:rsidP="001B0867">
      <w:pPr>
        <w:pStyle w:val="ListParagraph"/>
        <w:numPr>
          <w:ilvl w:val="0"/>
          <w:numId w:val="6"/>
        </w:numPr>
        <w:tabs>
          <w:tab w:val="clear" w:pos="357"/>
          <w:tab w:val="left" w:pos="426"/>
        </w:tabs>
        <w:spacing w:after="0" w:line="276" w:lineRule="auto"/>
        <w:ind w:left="714" w:hanging="357"/>
        <w:contextualSpacing w:val="0"/>
        <w:rPr>
          <w:rFonts w:asciiTheme="majorHAnsi" w:hAnsiTheme="majorHAnsi"/>
          <w:lang w:eastAsia="en-US"/>
        </w:rPr>
      </w:pPr>
      <w:r w:rsidRPr="001B0867">
        <w:rPr>
          <w:rFonts w:asciiTheme="majorHAnsi" w:hAnsiTheme="majorHAnsi"/>
          <w:lang w:eastAsia="en-US"/>
        </w:rPr>
        <w:t>Toolkit- Sample form 17</w:t>
      </w:r>
      <w:r w:rsidR="00180E24" w:rsidRPr="001B0867">
        <w:rPr>
          <w:rFonts w:asciiTheme="majorHAnsi" w:hAnsiTheme="majorHAnsi"/>
          <w:lang w:eastAsia="en-US"/>
        </w:rPr>
        <w:t>:</w:t>
      </w:r>
      <w:r w:rsidRPr="001B0867">
        <w:rPr>
          <w:rFonts w:asciiTheme="majorHAnsi" w:hAnsiTheme="majorHAnsi"/>
          <w:lang w:eastAsia="en-US"/>
        </w:rPr>
        <w:t xml:space="preserve"> RAMS Hazard assessment and control </w:t>
      </w:r>
    </w:p>
    <w:p w14:paraId="4342440C" w14:textId="77777777" w:rsidR="001B0867" w:rsidRPr="001B0867" w:rsidRDefault="001B0867" w:rsidP="001B0867">
      <w:pPr>
        <w:pStyle w:val="ListParagraph"/>
        <w:numPr>
          <w:ilvl w:val="0"/>
          <w:numId w:val="6"/>
        </w:numPr>
        <w:tabs>
          <w:tab w:val="clear" w:pos="357"/>
          <w:tab w:val="left" w:pos="426"/>
        </w:tabs>
        <w:spacing w:after="0" w:line="276" w:lineRule="auto"/>
        <w:contextualSpacing w:val="0"/>
        <w:rPr>
          <w:rFonts w:asciiTheme="majorHAnsi" w:hAnsiTheme="majorHAnsi"/>
          <w:lang w:eastAsia="en-US"/>
        </w:rPr>
      </w:pPr>
      <w:r w:rsidRPr="001B0867">
        <w:rPr>
          <w:rFonts w:asciiTheme="majorHAnsi" w:hAnsiTheme="majorHAnsi" w:cstheme="minorHAnsi"/>
          <w:lang w:eastAsia="en-US"/>
        </w:rPr>
        <w:t>Toolkit- Sample form 3: EOTC planning checklist</w:t>
      </w:r>
    </w:p>
    <w:p w14:paraId="60395A46" w14:textId="77777777" w:rsidR="001B0867" w:rsidRDefault="001B0867" w:rsidP="001B0867">
      <w:pPr>
        <w:pStyle w:val="ColorfulList-Accent11"/>
        <w:numPr>
          <w:ilvl w:val="0"/>
          <w:numId w:val="6"/>
        </w:numPr>
        <w:rPr>
          <w:rFonts w:asciiTheme="majorHAnsi" w:hAnsiTheme="majorHAnsi"/>
        </w:rPr>
      </w:pPr>
      <w:r w:rsidRPr="00AD7B93">
        <w:rPr>
          <w:rFonts w:asciiTheme="majorHAnsi" w:hAnsiTheme="majorHAnsi"/>
        </w:rPr>
        <w:t xml:space="preserve">Card sorting activity </w:t>
      </w:r>
    </w:p>
    <w:p w14:paraId="0CB44280" w14:textId="7A67F18D" w:rsidR="00524275" w:rsidRPr="00524275" w:rsidRDefault="00524275" w:rsidP="001B0867">
      <w:pPr>
        <w:pStyle w:val="ColorfulList-Accent11"/>
        <w:numPr>
          <w:ilvl w:val="0"/>
          <w:numId w:val="6"/>
        </w:numPr>
        <w:rPr>
          <w:rFonts w:asciiTheme="majorHAnsi" w:hAnsiTheme="majorHAnsi"/>
        </w:rPr>
      </w:pPr>
      <w:r w:rsidRPr="00524275">
        <w:rPr>
          <w:rFonts w:asciiTheme="majorHAnsi" w:hAnsiTheme="majorHAnsi" w:cstheme="minorHAnsi"/>
        </w:rPr>
        <w:t xml:space="preserve">Toolkit- Sample form 24: </w:t>
      </w:r>
      <w:r w:rsidRPr="00524275">
        <w:rPr>
          <w:rFonts w:asciiTheme="majorHAnsi" w:eastAsiaTheme="minorHAnsi" w:hAnsiTheme="majorHAnsi" w:cs="Arial"/>
          <w:color w:val="231D1D"/>
          <w:lang w:val="en-US"/>
        </w:rPr>
        <w:t>EOTC management self-audit checklist</w:t>
      </w:r>
    </w:p>
    <w:p w14:paraId="13490813" w14:textId="77777777" w:rsidR="00AB41C1" w:rsidRPr="004C69A6" w:rsidRDefault="004C69A6" w:rsidP="00AB41C1">
      <w:pPr>
        <w:pStyle w:val="ColorfulList-Accent11"/>
        <w:numPr>
          <w:ilvl w:val="0"/>
          <w:numId w:val="6"/>
        </w:numPr>
        <w:rPr>
          <w:rFonts w:asciiTheme="majorHAnsi" w:hAnsiTheme="majorHAnsi"/>
        </w:rPr>
      </w:pPr>
      <w:r w:rsidRPr="004C69A6">
        <w:rPr>
          <w:rFonts w:asciiTheme="majorHAnsi" w:hAnsiTheme="majorHAnsi"/>
        </w:rPr>
        <w:t xml:space="preserve">Ratios DVD clip </w:t>
      </w:r>
    </w:p>
    <w:p w14:paraId="73C76FCE" w14:textId="77777777" w:rsidR="00AB41C1" w:rsidRPr="00E24E9F" w:rsidRDefault="00AB41C1" w:rsidP="001B0867">
      <w:pPr>
        <w:pStyle w:val="ColorfulList-Accent11"/>
        <w:numPr>
          <w:ilvl w:val="0"/>
          <w:numId w:val="6"/>
        </w:numPr>
        <w:spacing w:after="0"/>
        <w:ind w:left="714" w:hanging="357"/>
        <w:contextualSpacing w:val="0"/>
        <w:rPr>
          <w:rFonts w:asciiTheme="majorHAnsi" w:hAnsiTheme="majorHAnsi"/>
        </w:rPr>
      </w:pPr>
      <w:r w:rsidRPr="00E24E9F">
        <w:rPr>
          <w:rFonts w:asciiTheme="majorHAnsi" w:hAnsiTheme="majorHAnsi"/>
        </w:rPr>
        <w:t>Supervision structure handout</w:t>
      </w:r>
    </w:p>
    <w:p w14:paraId="451926CD" w14:textId="77777777" w:rsidR="00A13D57" w:rsidRPr="00A13D57" w:rsidRDefault="00A13D57" w:rsidP="001B0867">
      <w:pPr>
        <w:pStyle w:val="ColorfulList-Accent11"/>
        <w:numPr>
          <w:ilvl w:val="0"/>
          <w:numId w:val="6"/>
        </w:numPr>
        <w:spacing w:after="0"/>
        <w:ind w:left="714" w:hanging="357"/>
        <w:contextualSpacing w:val="0"/>
        <w:rPr>
          <w:rFonts w:asciiTheme="majorHAnsi" w:hAnsiTheme="majorHAnsi"/>
        </w:rPr>
      </w:pPr>
      <w:r w:rsidRPr="00A13D57">
        <w:rPr>
          <w:rFonts w:asciiTheme="majorHAnsi" w:hAnsiTheme="majorHAnsi"/>
        </w:rPr>
        <w:t xml:space="preserve">Urban Camp case study </w:t>
      </w:r>
    </w:p>
    <w:p w14:paraId="70F24EC7" w14:textId="77777777" w:rsidR="002C4F11" w:rsidRPr="00E24E9F" w:rsidRDefault="002C4F11" w:rsidP="002C4F11">
      <w:pPr>
        <w:pStyle w:val="ColorfulList-Accent11"/>
        <w:numPr>
          <w:ilvl w:val="0"/>
          <w:numId w:val="6"/>
        </w:numPr>
        <w:rPr>
          <w:rFonts w:asciiTheme="majorHAnsi" w:hAnsiTheme="majorHAnsi"/>
        </w:rPr>
      </w:pPr>
      <w:r w:rsidRPr="00E24E9F">
        <w:rPr>
          <w:rFonts w:asciiTheme="majorHAnsi" w:hAnsiTheme="majorHAnsi"/>
        </w:rPr>
        <w:t>Ngaruawahia High School crisis management plans</w:t>
      </w:r>
    </w:p>
    <w:p w14:paraId="1AC50D00" w14:textId="77777777" w:rsidR="0017743A" w:rsidRDefault="0017743A" w:rsidP="005128BC">
      <w:pPr>
        <w:pStyle w:val="ColorfulList-Accent11"/>
        <w:numPr>
          <w:ilvl w:val="0"/>
          <w:numId w:val="6"/>
        </w:numPr>
        <w:rPr>
          <w:rFonts w:asciiTheme="majorHAnsi" w:hAnsiTheme="majorHAnsi"/>
        </w:rPr>
      </w:pPr>
      <w:r>
        <w:rPr>
          <w:rFonts w:asciiTheme="majorHAnsi" w:hAnsiTheme="majorHAnsi"/>
        </w:rPr>
        <w:t>National Incident Database (NID) reporting form</w:t>
      </w:r>
    </w:p>
    <w:p w14:paraId="14907146" w14:textId="77777777" w:rsidR="00CB7DF9" w:rsidRPr="00B041AF" w:rsidRDefault="00B041AF" w:rsidP="005128BC">
      <w:pPr>
        <w:pStyle w:val="ColorfulList-Accent11"/>
        <w:numPr>
          <w:ilvl w:val="0"/>
          <w:numId w:val="6"/>
        </w:numPr>
        <w:rPr>
          <w:rFonts w:asciiTheme="majorHAnsi" w:hAnsiTheme="majorHAnsi"/>
        </w:rPr>
      </w:pPr>
      <w:r w:rsidRPr="00B041AF">
        <w:rPr>
          <w:rFonts w:asciiTheme="majorHAnsi" w:hAnsiTheme="majorHAnsi"/>
        </w:rPr>
        <w:t>Primary school visit</w:t>
      </w:r>
      <w:r w:rsidR="00330E85" w:rsidRPr="00B041AF">
        <w:rPr>
          <w:rFonts w:asciiTheme="majorHAnsi" w:hAnsiTheme="majorHAnsi"/>
        </w:rPr>
        <w:t xml:space="preserve"> DVD </w:t>
      </w:r>
      <w:r w:rsidR="004423FE" w:rsidRPr="00B041AF">
        <w:rPr>
          <w:rFonts w:asciiTheme="majorHAnsi" w:hAnsiTheme="majorHAnsi"/>
        </w:rPr>
        <w:t xml:space="preserve">clip </w:t>
      </w:r>
    </w:p>
    <w:p w14:paraId="04564DB8" w14:textId="77777777" w:rsidR="001C61D9" w:rsidRDefault="00CF52A1" w:rsidP="00AB7E5D">
      <w:pPr>
        <w:pStyle w:val="ColorfulList-Accent11"/>
        <w:numPr>
          <w:ilvl w:val="0"/>
          <w:numId w:val="6"/>
        </w:numPr>
        <w:spacing w:after="0" w:line="240" w:lineRule="auto"/>
        <w:ind w:left="714" w:hanging="357"/>
        <w:rPr>
          <w:rFonts w:asciiTheme="majorHAnsi" w:hAnsiTheme="majorHAnsi"/>
        </w:rPr>
      </w:pPr>
      <w:r w:rsidRPr="00C72E58">
        <w:rPr>
          <w:rFonts w:asciiTheme="majorHAnsi" w:hAnsiTheme="majorHAnsi"/>
        </w:rPr>
        <w:t>Workshop Evaluation</w:t>
      </w:r>
    </w:p>
    <w:p w14:paraId="39D1A867" w14:textId="0491DB81" w:rsidR="00AB7E5D" w:rsidRPr="00EC7A5E" w:rsidRDefault="00AB7E5D" w:rsidP="00AB7E5D">
      <w:pPr>
        <w:tabs>
          <w:tab w:val="clear" w:pos="357"/>
          <w:tab w:val="left" w:pos="426"/>
        </w:tabs>
        <w:spacing w:after="0"/>
        <w:ind w:left="360"/>
        <w:rPr>
          <w:rFonts w:asciiTheme="majorHAnsi" w:hAnsiTheme="majorHAnsi"/>
        </w:rPr>
      </w:pPr>
      <w:r w:rsidRPr="00AB7E5D">
        <w:rPr>
          <w:rFonts w:asciiTheme="majorHAnsi" w:hAnsiTheme="majorHAnsi"/>
        </w:rPr>
        <w:t>26.   School EOTC Scope</w:t>
      </w:r>
    </w:p>
    <w:p w14:paraId="7DF043A9" w14:textId="77777777" w:rsidR="00406D27" w:rsidRPr="001B0867" w:rsidRDefault="00406D27" w:rsidP="00406D27">
      <w:pPr>
        <w:pStyle w:val="Title"/>
        <w:rPr>
          <w:rFonts w:asciiTheme="majorHAnsi" w:hAnsiTheme="majorHAnsi"/>
        </w:rPr>
      </w:pPr>
      <w:r w:rsidRPr="001B0867">
        <w:rPr>
          <w:rFonts w:asciiTheme="majorHAnsi" w:hAnsiTheme="majorHAnsi"/>
        </w:rPr>
        <w:lastRenderedPageBreak/>
        <w:t>Workshop Introduction</w:t>
      </w:r>
    </w:p>
    <w:p w14:paraId="0560B6F7" w14:textId="77777777" w:rsidR="00406D27" w:rsidRPr="001B0867" w:rsidRDefault="00406D27" w:rsidP="00406D27">
      <w:pPr>
        <w:rPr>
          <w:rFonts w:asciiTheme="majorHAnsi" w:hAnsiTheme="majorHAnsi"/>
        </w:rPr>
      </w:pPr>
      <w:r w:rsidRPr="001B0867">
        <w:rPr>
          <w:rFonts w:asciiTheme="majorHAnsi" w:hAnsiTheme="majorHAnsi"/>
        </w:rPr>
        <w:t xml:space="preserve">This resource brings the new EOTC Guidelines (2009) alive, highlighting key components of the Guidelines. It includes a range of activities to explore how these Guidelines can support you to provide EOTC opportunities for your students. The activities are designed to generate discussion in your school or organisation. EOTC is curriculum-based learning that extends the four walls of the classroom. As such, each school needs </w:t>
      </w:r>
      <w:r w:rsidR="00044FE0" w:rsidRPr="001B0867">
        <w:rPr>
          <w:rFonts w:asciiTheme="majorHAnsi" w:hAnsiTheme="majorHAnsi"/>
        </w:rPr>
        <w:t>use</w:t>
      </w:r>
      <w:r w:rsidRPr="001B0867">
        <w:rPr>
          <w:rFonts w:asciiTheme="majorHAnsi" w:hAnsiTheme="majorHAnsi"/>
        </w:rPr>
        <w:t xml:space="preserve"> these Guidelines</w:t>
      </w:r>
      <w:r w:rsidR="00044FE0" w:rsidRPr="001B0867">
        <w:rPr>
          <w:rFonts w:asciiTheme="majorHAnsi" w:hAnsiTheme="majorHAnsi"/>
        </w:rPr>
        <w:t xml:space="preserve"> to develop policies and practices that</w:t>
      </w:r>
      <w:r w:rsidRPr="001B0867">
        <w:rPr>
          <w:rFonts w:asciiTheme="majorHAnsi" w:hAnsiTheme="majorHAnsi"/>
        </w:rPr>
        <w:t xml:space="preserve"> best support them to deliver quality EOTC activities to meet the learning needs of their students.</w:t>
      </w:r>
    </w:p>
    <w:p w14:paraId="6A57CBEA" w14:textId="77777777" w:rsidR="00331F5A" w:rsidRPr="001B0867" w:rsidRDefault="00331F5A" w:rsidP="00406D27">
      <w:pPr>
        <w:rPr>
          <w:rFonts w:asciiTheme="majorHAnsi" w:hAnsiTheme="majorHAnsi"/>
        </w:rPr>
      </w:pPr>
      <w:r w:rsidRPr="001B0867">
        <w:rPr>
          <w:rFonts w:asciiTheme="majorHAnsi" w:hAnsiTheme="majorHAnsi"/>
        </w:rPr>
        <w:t xml:space="preserve">The material is divided up into seven modules. You can use all of the modules or choose the ones that are most relevant to your needs. If you plan to run the entire workshop please contact </w:t>
      </w:r>
      <w:hyperlink r:id="rId14" w:history="1">
        <w:r w:rsidRPr="001B0867">
          <w:rPr>
            <w:rStyle w:val="Hyperlink"/>
            <w:rFonts w:asciiTheme="majorHAnsi" w:hAnsiTheme="majorHAnsi"/>
          </w:rPr>
          <w:t>EONZ</w:t>
        </w:r>
      </w:hyperlink>
      <w:r w:rsidRPr="001B0867">
        <w:rPr>
          <w:rFonts w:asciiTheme="majorHAnsi" w:hAnsiTheme="majorHAnsi"/>
        </w:rPr>
        <w:t xml:space="preserve"> as they will provide support and resources for the workshop. If you would like this workshop run in your area EONZ can help you organise facilitators and venues for the workshop.</w:t>
      </w:r>
    </w:p>
    <w:p w14:paraId="4536B3F6" w14:textId="77777777" w:rsidR="00406D27" w:rsidRPr="001B0867" w:rsidRDefault="00406D27" w:rsidP="00406D27">
      <w:pPr>
        <w:rPr>
          <w:rFonts w:asciiTheme="majorHAnsi" w:hAnsiTheme="majorHAnsi"/>
        </w:rPr>
      </w:pPr>
      <w:r w:rsidRPr="001B0867">
        <w:rPr>
          <w:rFonts w:asciiTheme="majorHAnsi" w:hAnsiTheme="majorHAnsi"/>
        </w:rPr>
        <w:t>Education Outdoors New Zealand (EONZ), New Zealand Association for Environmental Education (NZAEE),</w:t>
      </w:r>
      <w:r w:rsidR="00044FE0" w:rsidRPr="001B0867">
        <w:rPr>
          <w:rFonts w:asciiTheme="majorHAnsi" w:hAnsiTheme="majorHAnsi"/>
        </w:rPr>
        <w:t xml:space="preserve">and </w:t>
      </w:r>
      <w:r w:rsidRPr="001B0867">
        <w:rPr>
          <w:rFonts w:asciiTheme="majorHAnsi" w:hAnsiTheme="majorHAnsi"/>
        </w:rPr>
        <w:t xml:space="preserve"> New Zealand Mountain Safety Council (MSC) have worked together with funding from SPARC to develop and deliver this resource. Many organisations and people contributed. We would like to thank all of those who have taken the time to comment and give feedback on the earlier drafts of this resource. </w:t>
      </w:r>
    </w:p>
    <w:p w14:paraId="5EA2CA0B" w14:textId="77777777" w:rsidR="00406D27" w:rsidRPr="001B0867" w:rsidRDefault="00406D27" w:rsidP="00406D27">
      <w:pPr>
        <w:rPr>
          <w:rFonts w:asciiTheme="majorHAnsi" w:hAnsiTheme="majorHAnsi"/>
        </w:rPr>
      </w:pPr>
      <w:r w:rsidRPr="001B0867">
        <w:rPr>
          <w:rFonts w:asciiTheme="majorHAnsi" w:hAnsiTheme="majorHAnsi"/>
        </w:rPr>
        <w:t xml:space="preserve">The writing team was Arthur Sutherland, Gemma Periam, Robyn Zink, </w:t>
      </w:r>
      <w:r w:rsidR="00EC7A5E">
        <w:rPr>
          <w:rFonts w:asciiTheme="majorHAnsi" w:hAnsiTheme="majorHAnsi"/>
        </w:rPr>
        <w:t xml:space="preserve">Faye Wilson-Hill </w:t>
      </w:r>
      <w:r w:rsidRPr="001B0867">
        <w:rPr>
          <w:rFonts w:asciiTheme="majorHAnsi" w:hAnsiTheme="majorHAnsi"/>
        </w:rPr>
        <w:t>and Stu Allan. Fiona McDonald coordinated the process.</w:t>
      </w:r>
    </w:p>
    <w:p w14:paraId="262DF47F" w14:textId="55B52356" w:rsidR="00406D27" w:rsidRPr="001B0867" w:rsidRDefault="00E91059" w:rsidP="00406D27">
      <w:pPr>
        <w:pStyle w:val="Heading2"/>
        <w:spacing w:before="120" w:after="240"/>
        <w:jc w:val="center"/>
        <w:rPr>
          <w:rFonts w:asciiTheme="majorHAnsi" w:hAnsiTheme="majorHAnsi"/>
        </w:rPr>
      </w:pPr>
      <w:r>
        <w:rPr>
          <w:rFonts w:asciiTheme="majorHAnsi" w:hAnsiTheme="majorHAnsi"/>
        </w:rPr>
        <w:t xml:space="preserve">Workshop 1 </w:t>
      </w:r>
      <w:r w:rsidR="00406D27" w:rsidRPr="001B0867">
        <w:rPr>
          <w:rFonts w:asciiTheme="majorHAnsi" w:hAnsiTheme="majorHAnsi"/>
        </w:rPr>
        <w:t>Programme Summary</w:t>
      </w:r>
    </w:p>
    <w:tbl>
      <w:tblPr>
        <w:tblW w:w="476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3"/>
        <w:gridCol w:w="799"/>
        <w:gridCol w:w="4130"/>
      </w:tblGrid>
      <w:tr w:rsidR="00406D27" w:rsidRPr="001B0867" w14:paraId="57A3EFD0" w14:textId="77777777" w:rsidTr="00CB7DF9">
        <w:tc>
          <w:tcPr>
            <w:tcW w:w="2200" w:type="pct"/>
          </w:tcPr>
          <w:p w14:paraId="4C096036" w14:textId="24F442CD" w:rsidR="00406D27" w:rsidRPr="001B0867" w:rsidRDefault="00AB7E5D" w:rsidP="00CB7DF9">
            <w:pPr>
              <w:spacing w:before="120"/>
              <w:ind w:left="-57" w:right="-57"/>
              <w:rPr>
                <w:rFonts w:asciiTheme="majorHAnsi" w:hAnsiTheme="majorHAnsi"/>
                <w:b/>
                <w:bCs/>
              </w:rPr>
            </w:pPr>
            <w:r>
              <w:rPr>
                <w:rFonts w:asciiTheme="majorHAnsi" w:hAnsiTheme="majorHAnsi"/>
                <w:b/>
                <w:bCs/>
              </w:rPr>
              <w:t>8.35</w:t>
            </w:r>
            <w:r w:rsidR="00406D27" w:rsidRPr="001B0867">
              <w:rPr>
                <w:rFonts w:asciiTheme="majorHAnsi" w:hAnsiTheme="majorHAnsi"/>
                <w:b/>
                <w:bCs/>
              </w:rPr>
              <w:t>am–10.45am</w:t>
            </w:r>
          </w:p>
        </w:tc>
        <w:tc>
          <w:tcPr>
            <w:tcW w:w="454" w:type="pct"/>
            <w:vMerge w:val="restart"/>
            <w:textDirection w:val="btLr"/>
          </w:tcPr>
          <w:p w14:paraId="1EBCDAAD" w14:textId="77777777" w:rsidR="00406D27" w:rsidRPr="001B0867" w:rsidRDefault="00406D27" w:rsidP="00CB7DF9">
            <w:pPr>
              <w:spacing w:before="120"/>
              <w:jc w:val="center"/>
              <w:rPr>
                <w:rFonts w:asciiTheme="majorHAnsi" w:hAnsiTheme="majorHAnsi"/>
              </w:rPr>
            </w:pPr>
            <w:r w:rsidRPr="001B0867">
              <w:rPr>
                <w:rFonts w:asciiTheme="majorHAnsi" w:hAnsiTheme="majorHAnsi"/>
              </w:rPr>
              <w:t>15 minutes break</w:t>
            </w:r>
          </w:p>
          <w:p w14:paraId="4E1DD745" w14:textId="77777777" w:rsidR="00406D27" w:rsidRPr="001B0867" w:rsidRDefault="00406D27" w:rsidP="00CB7DF9">
            <w:pPr>
              <w:tabs>
                <w:tab w:val="left" w:pos="8"/>
              </w:tabs>
              <w:ind w:left="360" w:right="113"/>
              <w:rPr>
                <w:rFonts w:asciiTheme="majorHAnsi" w:hAnsiTheme="majorHAnsi"/>
                <w:lang w:val="en-US"/>
              </w:rPr>
            </w:pPr>
          </w:p>
          <w:p w14:paraId="69D84349" w14:textId="77777777" w:rsidR="00406D27" w:rsidRPr="001B0867" w:rsidRDefault="00406D27" w:rsidP="00CB7DF9">
            <w:pPr>
              <w:tabs>
                <w:tab w:val="left" w:pos="8"/>
              </w:tabs>
              <w:ind w:left="170" w:right="113" w:hanging="227"/>
              <w:rPr>
                <w:rFonts w:asciiTheme="majorHAnsi" w:hAnsiTheme="majorHAnsi"/>
                <w:lang w:val="en-US"/>
              </w:rPr>
            </w:pPr>
          </w:p>
          <w:p w14:paraId="289A43D4" w14:textId="77777777" w:rsidR="00406D27" w:rsidRPr="001B0867" w:rsidRDefault="00406D27" w:rsidP="00CB7DF9">
            <w:pPr>
              <w:tabs>
                <w:tab w:val="left" w:pos="8"/>
              </w:tabs>
              <w:ind w:left="170" w:right="113" w:hanging="227"/>
              <w:rPr>
                <w:rFonts w:asciiTheme="majorHAnsi" w:hAnsiTheme="majorHAnsi"/>
                <w:b/>
                <w:bCs/>
              </w:rPr>
            </w:pPr>
          </w:p>
        </w:tc>
        <w:tc>
          <w:tcPr>
            <w:tcW w:w="2346" w:type="pct"/>
          </w:tcPr>
          <w:p w14:paraId="4128DC9B" w14:textId="77777777" w:rsidR="00406D27" w:rsidRPr="001B0867" w:rsidRDefault="00406D27" w:rsidP="00CB7DF9">
            <w:pPr>
              <w:spacing w:before="120"/>
              <w:ind w:left="-57" w:right="-57"/>
              <w:rPr>
                <w:rFonts w:asciiTheme="majorHAnsi" w:hAnsiTheme="majorHAnsi"/>
                <w:b/>
                <w:bCs/>
              </w:rPr>
            </w:pPr>
            <w:r w:rsidRPr="001B0867">
              <w:rPr>
                <w:rFonts w:asciiTheme="majorHAnsi" w:hAnsiTheme="majorHAnsi"/>
                <w:b/>
                <w:bCs/>
              </w:rPr>
              <w:t>11.00am–12.15pm</w:t>
            </w:r>
          </w:p>
        </w:tc>
      </w:tr>
      <w:tr w:rsidR="00406D27" w:rsidRPr="001B0867" w14:paraId="737A031A" w14:textId="77777777" w:rsidTr="00CB7DF9">
        <w:trPr>
          <w:trHeight w:val="2336"/>
        </w:trPr>
        <w:tc>
          <w:tcPr>
            <w:tcW w:w="2200" w:type="pct"/>
          </w:tcPr>
          <w:p w14:paraId="4733DFAB" w14:textId="77777777" w:rsidR="00970C61" w:rsidRPr="001B0867" w:rsidRDefault="00970C61" w:rsidP="00970C61">
            <w:pPr>
              <w:pStyle w:val="ListBullet"/>
              <w:spacing w:after="0"/>
              <w:ind w:left="357" w:hanging="357"/>
              <w:rPr>
                <w:rFonts w:asciiTheme="majorHAnsi" w:hAnsiTheme="majorHAnsi"/>
              </w:rPr>
            </w:pPr>
          </w:p>
          <w:p w14:paraId="44D4A024" w14:textId="77A34300" w:rsidR="00970C61" w:rsidRPr="001B0867" w:rsidRDefault="00406D27" w:rsidP="004D4C53">
            <w:pPr>
              <w:pStyle w:val="ListBullet"/>
              <w:spacing w:after="0"/>
              <w:rPr>
                <w:rFonts w:asciiTheme="majorHAnsi" w:hAnsiTheme="majorHAnsi"/>
              </w:rPr>
            </w:pPr>
            <w:r w:rsidRPr="001B0867">
              <w:rPr>
                <w:rFonts w:asciiTheme="majorHAnsi" w:hAnsiTheme="majorHAnsi"/>
              </w:rPr>
              <w:t>Welcome</w:t>
            </w:r>
            <w:r w:rsidR="00EC7A5E">
              <w:rPr>
                <w:rFonts w:asciiTheme="majorHAnsi" w:hAnsiTheme="majorHAnsi"/>
              </w:rPr>
              <w:t xml:space="preserve"> (</w:t>
            </w:r>
            <w:r w:rsidR="004D4C53">
              <w:rPr>
                <w:rFonts w:asciiTheme="majorHAnsi" w:hAnsiTheme="majorHAnsi"/>
              </w:rPr>
              <w:t xml:space="preserve">5 </w:t>
            </w:r>
            <w:r w:rsidR="00EC7A5E">
              <w:rPr>
                <w:rFonts w:asciiTheme="majorHAnsi" w:hAnsiTheme="majorHAnsi"/>
              </w:rPr>
              <w:t>minutes)</w:t>
            </w:r>
          </w:p>
          <w:p w14:paraId="2C105148" w14:textId="77777777" w:rsidR="00406D27" w:rsidRPr="001B0867" w:rsidRDefault="00406D27" w:rsidP="00970C61">
            <w:pPr>
              <w:pStyle w:val="ListBullet"/>
              <w:spacing w:after="0"/>
              <w:rPr>
                <w:rFonts w:asciiTheme="majorHAnsi" w:hAnsiTheme="majorHAnsi"/>
              </w:rPr>
            </w:pPr>
            <w:r w:rsidRPr="001B0867">
              <w:rPr>
                <w:rFonts w:asciiTheme="majorHAnsi" w:hAnsiTheme="majorHAnsi"/>
              </w:rPr>
              <w:t>Setting the scene</w:t>
            </w:r>
            <w:r w:rsidR="00EC7A5E">
              <w:rPr>
                <w:rFonts w:asciiTheme="majorHAnsi" w:hAnsiTheme="majorHAnsi"/>
              </w:rPr>
              <w:t xml:space="preserve"> (10 minutes)</w:t>
            </w:r>
          </w:p>
          <w:p w14:paraId="090B0695" w14:textId="44458D8C" w:rsidR="00970C61" w:rsidRPr="001B0867" w:rsidRDefault="004D4C53" w:rsidP="00970C61">
            <w:pPr>
              <w:pStyle w:val="ListBullet"/>
              <w:spacing w:after="0"/>
              <w:rPr>
                <w:rFonts w:asciiTheme="majorHAnsi" w:hAnsiTheme="majorHAnsi"/>
              </w:rPr>
            </w:pPr>
            <w:r>
              <w:rPr>
                <w:rFonts w:asciiTheme="majorHAnsi" w:hAnsiTheme="majorHAnsi"/>
              </w:rPr>
              <w:t>Getting started (</w:t>
            </w:r>
            <w:r w:rsidR="00AB7E5D">
              <w:rPr>
                <w:rFonts w:asciiTheme="majorHAnsi" w:hAnsiTheme="majorHAnsi"/>
              </w:rPr>
              <w:t>1</w:t>
            </w:r>
            <w:r>
              <w:rPr>
                <w:rFonts w:asciiTheme="majorHAnsi" w:hAnsiTheme="majorHAnsi"/>
              </w:rPr>
              <w:t>5 minutes)</w:t>
            </w:r>
          </w:p>
          <w:p w14:paraId="07084A4A" w14:textId="77777777" w:rsidR="001C61D9" w:rsidRPr="001B0867" w:rsidRDefault="001C61D9" w:rsidP="00970C61">
            <w:pPr>
              <w:pStyle w:val="ListBullet"/>
              <w:spacing w:after="0"/>
              <w:rPr>
                <w:rFonts w:asciiTheme="majorHAnsi" w:hAnsiTheme="majorHAnsi"/>
              </w:rPr>
            </w:pPr>
            <w:r w:rsidRPr="001B0867">
              <w:rPr>
                <w:rFonts w:asciiTheme="majorHAnsi" w:hAnsiTheme="majorHAnsi"/>
              </w:rPr>
              <w:t>Module</w:t>
            </w:r>
            <w:r w:rsidR="00406D27" w:rsidRPr="001B0867">
              <w:rPr>
                <w:rFonts w:asciiTheme="majorHAnsi" w:hAnsiTheme="majorHAnsi"/>
              </w:rPr>
              <w:t xml:space="preserve"> 1</w:t>
            </w:r>
            <w:r w:rsidR="00970C61" w:rsidRPr="001B0867">
              <w:rPr>
                <w:rFonts w:asciiTheme="majorHAnsi" w:hAnsiTheme="majorHAnsi"/>
              </w:rPr>
              <w:t xml:space="preserve"> </w:t>
            </w:r>
            <w:r w:rsidR="00EC7A5E" w:rsidRPr="00EC7A5E">
              <w:rPr>
                <w:rFonts w:asciiTheme="majorHAnsi" w:hAnsiTheme="majorHAnsi"/>
              </w:rPr>
              <w:t xml:space="preserve">(50 </w:t>
            </w:r>
            <w:r w:rsidR="00970C61" w:rsidRPr="00EC7A5E">
              <w:rPr>
                <w:rFonts w:asciiTheme="majorHAnsi" w:hAnsiTheme="majorHAnsi"/>
              </w:rPr>
              <w:t>minutes)</w:t>
            </w:r>
          </w:p>
          <w:p w14:paraId="6416A949" w14:textId="77777777" w:rsidR="00406D27" w:rsidRPr="001B0867" w:rsidRDefault="00406D27" w:rsidP="00970C61">
            <w:pPr>
              <w:pStyle w:val="ListBullet"/>
              <w:spacing w:after="0"/>
              <w:rPr>
                <w:rFonts w:asciiTheme="majorHAnsi" w:hAnsiTheme="majorHAnsi"/>
                <w:i/>
                <w:iCs/>
              </w:rPr>
            </w:pPr>
            <w:r w:rsidRPr="001B0867">
              <w:rPr>
                <w:rFonts w:asciiTheme="majorHAnsi" w:hAnsiTheme="majorHAnsi"/>
                <w:i/>
                <w:iCs/>
              </w:rPr>
              <w:t>Bringing the Curriculum Alive</w:t>
            </w:r>
          </w:p>
          <w:p w14:paraId="54693C65" w14:textId="77777777" w:rsidR="001C61D9" w:rsidRPr="001B0867" w:rsidRDefault="001C61D9" w:rsidP="00970C61">
            <w:pPr>
              <w:pStyle w:val="ListBullet"/>
              <w:spacing w:after="0"/>
              <w:rPr>
                <w:rFonts w:asciiTheme="majorHAnsi" w:hAnsiTheme="majorHAnsi"/>
              </w:rPr>
            </w:pPr>
          </w:p>
          <w:p w14:paraId="643ED797" w14:textId="77777777" w:rsidR="001C61D9" w:rsidRPr="001B0867" w:rsidRDefault="001C61D9" w:rsidP="00970C61">
            <w:pPr>
              <w:pStyle w:val="ListBullet"/>
              <w:spacing w:after="0"/>
              <w:ind w:left="318" w:hanging="284"/>
              <w:rPr>
                <w:rFonts w:asciiTheme="majorHAnsi" w:hAnsiTheme="majorHAnsi"/>
              </w:rPr>
            </w:pPr>
            <w:r w:rsidRPr="001B0867">
              <w:rPr>
                <w:rFonts w:asciiTheme="majorHAnsi" w:hAnsiTheme="majorHAnsi"/>
              </w:rPr>
              <w:t>Module</w:t>
            </w:r>
            <w:r w:rsidR="00406D27" w:rsidRPr="001B0867">
              <w:rPr>
                <w:rFonts w:asciiTheme="majorHAnsi" w:hAnsiTheme="majorHAnsi"/>
              </w:rPr>
              <w:t xml:space="preserve"> 2</w:t>
            </w:r>
            <w:r w:rsidR="00EC7A5E">
              <w:rPr>
                <w:rFonts w:asciiTheme="majorHAnsi" w:hAnsiTheme="majorHAnsi"/>
              </w:rPr>
              <w:t xml:space="preserve"> (50 </w:t>
            </w:r>
            <w:r w:rsidR="00970C61" w:rsidRPr="001B0867">
              <w:rPr>
                <w:rFonts w:asciiTheme="majorHAnsi" w:hAnsiTheme="majorHAnsi"/>
              </w:rPr>
              <w:t>minutes)</w:t>
            </w:r>
          </w:p>
          <w:p w14:paraId="59E1A115" w14:textId="77777777" w:rsidR="00406D27" w:rsidRPr="001B0867" w:rsidRDefault="001C61D9" w:rsidP="00970C61">
            <w:pPr>
              <w:pStyle w:val="ListBullet"/>
              <w:spacing w:after="0"/>
              <w:ind w:left="318" w:hanging="284"/>
              <w:rPr>
                <w:rFonts w:asciiTheme="majorHAnsi" w:hAnsiTheme="majorHAnsi"/>
              </w:rPr>
            </w:pPr>
            <w:r w:rsidRPr="001B0867">
              <w:rPr>
                <w:rFonts w:asciiTheme="majorHAnsi" w:hAnsiTheme="majorHAnsi"/>
                <w:i/>
                <w:iCs/>
              </w:rPr>
              <w:t>Learning Safely:</w:t>
            </w:r>
            <w:r w:rsidRPr="001B0867">
              <w:rPr>
                <w:rFonts w:asciiTheme="majorHAnsi" w:hAnsiTheme="majorHAnsi"/>
                <w:i/>
              </w:rPr>
              <w:t xml:space="preserve"> A shared responsibility</w:t>
            </w:r>
          </w:p>
        </w:tc>
        <w:tc>
          <w:tcPr>
            <w:tcW w:w="454" w:type="pct"/>
            <w:vMerge/>
            <w:textDirection w:val="btLr"/>
          </w:tcPr>
          <w:p w14:paraId="3FED8BAE" w14:textId="77777777" w:rsidR="00406D27" w:rsidRPr="001B0867" w:rsidRDefault="00406D27" w:rsidP="00CB7DF9">
            <w:pPr>
              <w:tabs>
                <w:tab w:val="left" w:pos="8"/>
              </w:tabs>
              <w:ind w:left="170" w:right="113" w:hanging="227"/>
              <w:rPr>
                <w:rFonts w:asciiTheme="majorHAnsi" w:hAnsiTheme="majorHAnsi"/>
                <w:lang w:val="en-US"/>
              </w:rPr>
            </w:pPr>
          </w:p>
        </w:tc>
        <w:tc>
          <w:tcPr>
            <w:tcW w:w="2346" w:type="pct"/>
          </w:tcPr>
          <w:p w14:paraId="17145F04" w14:textId="77777777" w:rsidR="001C61D9" w:rsidRPr="001B0867" w:rsidRDefault="001C61D9" w:rsidP="001C61D9">
            <w:pPr>
              <w:pStyle w:val="ListBullet"/>
              <w:spacing w:before="240" w:after="0"/>
              <w:ind w:left="357" w:hanging="357"/>
              <w:rPr>
                <w:rFonts w:asciiTheme="majorHAnsi" w:hAnsiTheme="majorHAnsi"/>
              </w:rPr>
            </w:pPr>
            <w:r w:rsidRPr="001B0867">
              <w:rPr>
                <w:rFonts w:asciiTheme="majorHAnsi" w:hAnsiTheme="majorHAnsi"/>
              </w:rPr>
              <w:t>Module</w:t>
            </w:r>
            <w:r w:rsidR="00406D27" w:rsidRPr="001B0867">
              <w:rPr>
                <w:rFonts w:asciiTheme="majorHAnsi" w:hAnsiTheme="majorHAnsi"/>
              </w:rPr>
              <w:t xml:space="preserve"> 3</w:t>
            </w:r>
            <w:r w:rsidR="00970C61" w:rsidRPr="001B0867">
              <w:rPr>
                <w:rFonts w:asciiTheme="majorHAnsi" w:hAnsiTheme="majorHAnsi"/>
              </w:rPr>
              <w:t xml:space="preserve"> (</w:t>
            </w:r>
            <w:r w:rsidR="00EC7A5E">
              <w:rPr>
                <w:rFonts w:asciiTheme="majorHAnsi" w:hAnsiTheme="majorHAnsi"/>
              </w:rPr>
              <w:t>75</w:t>
            </w:r>
            <w:r w:rsidR="00970C61" w:rsidRPr="001B0867">
              <w:rPr>
                <w:rFonts w:asciiTheme="majorHAnsi" w:hAnsiTheme="majorHAnsi"/>
              </w:rPr>
              <w:t xml:space="preserve"> minutes)</w:t>
            </w:r>
          </w:p>
          <w:p w14:paraId="038DD6E7" w14:textId="77777777" w:rsidR="00406D27" w:rsidRPr="001B0867" w:rsidRDefault="00406D27" w:rsidP="00970C61">
            <w:pPr>
              <w:pStyle w:val="ListBullet"/>
              <w:spacing w:after="0"/>
              <w:ind w:left="357" w:hanging="357"/>
              <w:rPr>
                <w:rFonts w:asciiTheme="majorHAnsi" w:hAnsiTheme="majorHAnsi"/>
              </w:rPr>
            </w:pPr>
            <w:r w:rsidRPr="001B0867">
              <w:rPr>
                <w:rFonts w:asciiTheme="majorHAnsi" w:hAnsiTheme="majorHAnsi"/>
                <w:i/>
                <w:iCs/>
              </w:rPr>
              <w:t>Planning</w:t>
            </w:r>
          </w:p>
        </w:tc>
      </w:tr>
      <w:tr w:rsidR="00406D27" w:rsidRPr="001B0867" w14:paraId="6E475E41" w14:textId="77777777" w:rsidTr="00CB7DF9">
        <w:trPr>
          <w:trHeight w:val="718"/>
        </w:trPr>
        <w:tc>
          <w:tcPr>
            <w:tcW w:w="5000" w:type="pct"/>
            <w:gridSpan w:val="3"/>
          </w:tcPr>
          <w:p w14:paraId="2AD5FC93" w14:textId="77777777" w:rsidR="00406D27" w:rsidRPr="001B0867" w:rsidRDefault="00406D27" w:rsidP="00CB7DF9">
            <w:pPr>
              <w:spacing w:before="240"/>
              <w:ind w:left="357"/>
              <w:jc w:val="center"/>
              <w:rPr>
                <w:rFonts w:asciiTheme="majorHAnsi" w:hAnsiTheme="majorHAnsi"/>
              </w:rPr>
            </w:pPr>
            <w:r w:rsidRPr="001B0867">
              <w:rPr>
                <w:rFonts w:asciiTheme="majorHAnsi" w:hAnsiTheme="majorHAnsi"/>
              </w:rPr>
              <w:t>45 minutes lunch</w:t>
            </w:r>
          </w:p>
        </w:tc>
      </w:tr>
      <w:tr w:rsidR="00406D27" w:rsidRPr="001B0867" w14:paraId="6A0FB2AF" w14:textId="77777777" w:rsidTr="00CB7DF9">
        <w:trPr>
          <w:trHeight w:val="516"/>
        </w:trPr>
        <w:tc>
          <w:tcPr>
            <w:tcW w:w="2200" w:type="pct"/>
          </w:tcPr>
          <w:p w14:paraId="42F7CF10" w14:textId="77777777" w:rsidR="00406D27" w:rsidRPr="001B0867" w:rsidRDefault="00406D27" w:rsidP="00CB7DF9">
            <w:pPr>
              <w:spacing w:before="120"/>
              <w:ind w:left="-57" w:right="-57"/>
              <w:rPr>
                <w:rFonts w:asciiTheme="majorHAnsi" w:hAnsiTheme="majorHAnsi"/>
                <w:b/>
                <w:bCs/>
              </w:rPr>
            </w:pPr>
            <w:r w:rsidRPr="001B0867">
              <w:rPr>
                <w:rFonts w:asciiTheme="majorHAnsi" w:hAnsiTheme="majorHAnsi"/>
                <w:b/>
                <w:bCs/>
              </w:rPr>
              <w:t>1.00pm–3.00pm</w:t>
            </w:r>
          </w:p>
        </w:tc>
        <w:tc>
          <w:tcPr>
            <w:tcW w:w="454" w:type="pct"/>
            <w:vMerge w:val="restart"/>
            <w:textDirection w:val="btLr"/>
          </w:tcPr>
          <w:p w14:paraId="37CF5E92" w14:textId="77777777" w:rsidR="00406D27" w:rsidRPr="001B0867" w:rsidRDefault="00406D27" w:rsidP="00CB7DF9">
            <w:pPr>
              <w:spacing w:before="120"/>
              <w:jc w:val="center"/>
              <w:rPr>
                <w:rFonts w:asciiTheme="majorHAnsi" w:hAnsiTheme="majorHAnsi"/>
              </w:rPr>
            </w:pPr>
            <w:r w:rsidRPr="001B0867">
              <w:rPr>
                <w:rFonts w:asciiTheme="majorHAnsi" w:hAnsiTheme="majorHAnsi"/>
              </w:rPr>
              <w:t>15 minutes break</w:t>
            </w:r>
          </w:p>
          <w:p w14:paraId="296BE500" w14:textId="77777777" w:rsidR="00406D27" w:rsidRPr="001B0867" w:rsidRDefault="00406D27" w:rsidP="00CB7DF9">
            <w:pPr>
              <w:tabs>
                <w:tab w:val="left" w:pos="8"/>
              </w:tabs>
              <w:spacing w:after="60"/>
              <w:ind w:left="360" w:right="113"/>
              <w:rPr>
                <w:rFonts w:asciiTheme="majorHAnsi" w:hAnsiTheme="majorHAnsi"/>
                <w:lang w:val="en-US"/>
              </w:rPr>
            </w:pPr>
          </w:p>
          <w:p w14:paraId="2B3D024C" w14:textId="77777777" w:rsidR="00406D27" w:rsidRPr="001B0867" w:rsidRDefault="00406D27" w:rsidP="00CB7DF9">
            <w:pPr>
              <w:tabs>
                <w:tab w:val="left" w:pos="8"/>
              </w:tabs>
              <w:spacing w:after="60"/>
              <w:ind w:left="227" w:right="113" w:hanging="227"/>
              <w:rPr>
                <w:rFonts w:asciiTheme="majorHAnsi" w:hAnsiTheme="majorHAnsi"/>
                <w:lang w:val="en-US"/>
              </w:rPr>
            </w:pPr>
          </w:p>
          <w:p w14:paraId="5E8DFA85" w14:textId="77777777" w:rsidR="00406D27" w:rsidRPr="001B0867" w:rsidRDefault="00406D27" w:rsidP="00CB7DF9">
            <w:pPr>
              <w:tabs>
                <w:tab w:val="left" w:pos="8"/>
              </w:tabs>
              <w:spacing w:after="60"/>
              <w:ind w:left="227" w:right="113" w:hanging="227"/>
              <w:rPr>
                <w:rFonts w:asciiTheme="majorHAnsi" w:hAnsiTheme="majorHAnsi"/>
                <w:b/>
                <w:bCs/>
              </w:rPr>
            </w:pPr>
          </w:p>
        </w:tc>
        <w:tc>
          <w:tcPr>
            <w:tcW w:w="2346" w:type="pct"/>
          </w:tcPr>
          <w:p w14:paraId="07D0A327" w14:textId="77777777" w:rsidR="00406D27" w:rsidRPr="001B0867" w:rsidRDefault="00406D27" w:rsidP="00CB7DF9">
            <w:pPr>
              <w:spacing w:before="120"/>
              <w:ind w:left="-57" w:right="-57"/>
              <w:rPr>
                <w:rFonts w:asciiTheme="majorHAnsi" w:hAnsiTheme="majorHAnsi"/>
                <w:b/>
                <w:bCs/>
              </w:rPr>
            </w:pPr>
            <w:r w:rsidRPr="001B0867">
              <w:rPr>
                <w:rFonts w:asciiTheme="majorHAnsi" w:hAnsiTheme="majorHAnsi"/>
                <w:b/>
                <w:bCs/>
              </w:rPr>
              <w:t>3.15pm–4.30pm</w:t>
            </w:r>
          </w:p>
        </w:tc>
      </w:tr>
      <w:tr w:rsidR="00406D27" w:rsidRPr="001B0867" w14:paraId="76615EE0" w14:textId="77777777" w:rsidTr="00CB7DF9">
        <w:trPr>
          <w:trHeight w:val="1134"/>
        </w:trPr>
        <w:tc>
          <w:tcPr>
            <w:tcW w:w="2200" w:type="pct"/>
          </w:tcPr>
          <w:p w14:paraId="7746C128" w14:textId="58D4CAE3" w:rsidR="00970C61" w:rsidRPr="001D4F4A" w:rsidRDefault="001C61D9" w:rsidP="00970C61">
            <w:pPr>
              <w:pStyle w:val="ListBullet"/>
              <w:spacing w:before="240" w:after="0"/>
              <w:ind w:left="357" w:hanging="357"/>
              <w:rPr>
                <w:rFonts w:asciiTheme="majorHAnsi" w:hAnsiTheme="majorHAnsi"/>
              </w:rPr>
            </w:pPr>
            <w:r w:rsidRPr="001B0867">
              <w:rPr>
                <w:rFonts w:asciiTheme="majorHAnsi" w:hAnsiTheme="majorHAnsi"/>
              </w:rPr>
              <w:t xml:space="preserve">Module </w:t>
            </w:r>
            <w:r w:rsidRPr="001D4F4A">
              <w:rPr>
                <w:rFonts w:asciiTheme="majorHAnsi" w:hAnsiTheme="majorHAnsi"/>
              </w:rPr>
              <w:t>4</w:t>
            </w:r>
            <w:r w:rsidR="00970C61" w:rsidRPr="001D4F4A">
              <w:rPr>
                <w:rFonts w:asciiTheme="majorHAnsi" w:hAnsiTheme="majorHAnsi"/>
              </w:rPr>
              <w:t xml:space="preserve"> (</w:t>
            </w:r>
            <w:r w:rsidR="001D4F4A" w:rsidRPr="001D4F4A">
              <w:rPr>
                <w:rFonts w:asciiTheme="majorHAnsi" w:hAnsiTheme="majorHAnsi"/>
              </w:rPr>
              <w:t>60</w:t>
            </w:r>
            <w:r w:rsidR="00970C61" w:rsidRPr="001D4F4A">
              <w:rPr>
                <w:rFonts w:asciiTheme="majorHAnsi" w:hAnsiTheme="majorHAnsi"/>
              </w:rPr>
              <w:t xml:space="preserve"> minutes)</w:t>
            </w:r>
          </w:p>
          <w:p w14:paraId="706D16B6" w14:textId="77777777" w:rsidR="00406D27" w:rsidRPr="001D4F4A" w:rsidRDefault="00406D27" w:rsidP="00970C61">
            <w:pPr>
              <w:pStyle w:val="ListBullet"/>
              <w:spacing w:after="0"/>
              <w:ind w:left="357" w:hanging="357"/>
              <w:rPr>
                <w:rFonts w:asciiTheme="majorHAnsi" w:hAnsiTheme="majorHAnsi"/>
                <w:i/>
                <w:iCs/>
              </w:rPr>
            </w:pPr>
            <w:r w:rsidRPr="001D4F4A">
              <w:rPr>
                <w:rFonts w:asciiTheme="majorHAnsi" w:hAnsiTheme="majorHAnsi"/>
                <w:i/>
                <w:iCs/>
              </w:rPr>
              <w:t>Staffing &amp; Supervision</w:t>
            </w:r>
          </w:p>
          <w:p w14:paraId="240D35A3" w14:textId="77777777" w:rsidR="00970C61" w:rsidRPr="001D4F4A" w:rsidRDefault="00970C61" w:rsidP="00970C61">
            <w:pPr>
              <w:pStyle w:val="ListBullet"/>
              <w:spacing w:after="0"/>
              <w:ind w:left="357" w:hanging="357"/>
              <w:rPr>
                <w:rFonts w:asciiTheme="majorHAnsi" w:hAnsiTheme="majorHAnsi"/>
              </w:rPr>
            </w:pPr>
          </w:p>
          <w:p w14:paraId="29CF68E3" w14:textId="7ED77B8A" w:rsidR="00970C61" w:rsidRPr="001D4F4A" w:rsidRDefault="001C61D9" w:rsidP="00970C61">
            <w:pPr>
              <w:pStyle w:val="ListBullet"/>
              <w:spacing w:after="0"/>
              <w:ind w:left="357" w:hanging="357"/>
              <w:rPr>
                <w:rFonts w:asciiTheme="majorHAnsi" w:hAnsiTheme="majorHAnsi"/>
              </w:rPr>
            </w:pPr>
            <w:r w:rsidRPr="001D4F4A">
              <w:rPr>
                <w:rFonts w:asciiTheme="majorHAnsi" w:hAnsiTheme="majorHAnsi"/>
              </w:rPr>
              <w:t>Module 5</w:t>
            </w:r>
            <w:r w:rsidR="00970C61" w:rsidRPr="001D4F4A">
              <w:rPr>
                <w:rFonts w:asciiTheme="majorHAnsi" w:hAnsiTheme="majorHAnsi"/>
              </w:rPr>
              <w:t xml:space="preserve"> (</w:t>
            </w:r>
            <w:r w:rsidR="001D4F4A" w:rsidRPr="001D4F4A">
              <w:rPr>
                <w:rFonts w:asciiTheme="majorHAnsi" w:hAnsiTheme="majorHAnsi"/>
              </w:rPr>
              <w:t>30</w:t>
            </w:r>
            <w:r w:rsidR="00970C61" w:rsidRPr="001D4F4A">
              <w:rPr>
                <w:rFonts w:asciiTheme="majorHAnsi" w:hAnsiTheme="majorHAnsi"/>
              </w:rPr>
              <w:t xml:space="preserve"> minutes)</w:t>
            </w:r>
          </w:p>
          <w:p w14:paraId="14F7888F" w14:textId="77777777" w:rsidR="001C61D9" w:rsidRPr="001D4F4A" w:rsidRDefault="001C61D9" w:rsidP="00970C61">
            <w:pPr>
              <w:pStyle w:val="ListBullet"/>
              <w:spacing w:after="0"/>
              <w:ind w:left="357" w:hanging="357"/>
              <w:rPr>
                <w:rFonts w:asciiTheme="majorHAnsi" w:hAnsiTheme="majorHAnsi"/>
              </w:rPr>
            </w:pPr>
            <w:r w:rsidRPr="001D4F4A">
              <w:rPr>
                <w:rFonts w:asciiTheme="majorHAnsi" w:hAnsiTheme="majorHAnsi"/>
                <w:i/>
                <w:iCs/>
              </w:rPr>
              <w:t>Contractors, volunteers and parents</w:t>
            </w:r>
          </w:p>
          <w:p w14:paraId="773EA359" w14:textId="77777777" w:rsidR="00970C61" w:rsidRPr="001D4F4A" w:rsidRDefault="00970C61" w:rsidP="001C61D9">
            <w:pPr>
              <w:pStyle w:val="ListBullet"/>
              <w:spacing w:after="0"/>
              <w:rPr>
                <w:rFonts w:asciiTheme="majorHAnsi" w:hAnsiTheme="majorHAnsi"/>
              </w:rPr>
            </w:pPr>
          </w:p>
          <w:p w14:paraId="390D7F86" w14:textId="65F51756" w:rsidR="00970C61" w:rsidRPr="001D4F4A" w:rsidRDefault="001C61D9" w:rsidP="001C61D9">
            <w:pPr>
              <w:pStyle w:val="ListBullet"/>
              <w:spacing w:after="0"/>
              <w:rPr>
                <w:rFonts w:asciiTheme="majorHAnsi" w:hAnsiTheme="majorHAnsi"/>
              </w:rPr>
            </w:pPr>
            <w:r w:rsidRPr="001D4F4A">
              <w:rPr>
                <w:rFonts w:asciiTheme="majorHAnsi" w:hAnsiTheme="majorHAnsi"/>
              </w:rPr>
              <w:t>Module</w:t>
            </w:r>
            <w:r w:rsidR="00406D27" w:rsidRPr="001D4F4A">
              <w:rPr>
                <w:rFonts w:asciiTheme="majorHAnsi" w:hAnsiTheme="majorHAnsi"/>
              </w:rPr>
              <w:t xml:space="preserve"> 6 </w:t>
            </w:r>
            <w:r w:rsidR="00970C61" w:rsidRPr="001D4F4A">
              <w:rPr>
                <w:rFonts w:asciiTheme="majorHAnsi" w:hAnsiTheme="majorHAnsi"/>
              </w:rPr>
              <w:t xml:space="preserve"> (</w:t>
            </w:r>
            <w:r w:rsidR="001D4F4A" w:rsidRPr="001D4F4A">
              <w:rPr>
                <w:rFonts w:asciiTheme="majorHAnsi" w:hAnsiTheme="majorHAnsi"/>
              </w:rPr>
              <w:t>30</w:t>
            </w:r>
            <w:r w:rsidR="00970C61" w:rsidRPr="001D4F4A">
              <w:rPr>
                <w:rFonts w:asciiTheme="majorHAnsi" w:hAnsiTheme="majorHAnsi"/>
              </w:rPr>
              <w:t xml:space="preserve"> minutes)</w:t>
            </w:r>
          </w:p>
          <w:p w14:paraId="55E20AA0" w14:textId="77777777" w:rsidR="00406D27" w:rsidRPr="001B0867" w:rsidRDefault="00406D27" w:rsidP="001C61D9">
            <w:pPr>
              <w:pStyle w:val="ListBullet"/>
              <w:spacing w:after="0"/>
              <w:rPr>
                <w:rFonts w:asciiTheme="majorHAnsi" w:hAnsiTheme="majorHAnsi"/>
              </w:rPr>
            </w:pPr>
            <w:r w:rsidRPr="001D4F4A">
              <w:rPr>
                <w:rFonts w:asciiTheme="majorHAnsi" w:hAnsiTheme="majorHAnsi"/>
                <w:i/>
                <w:iCs/>
              </w:rPr>
              <w:t>Legal</w:t>
            </w:r>
            <w:r w:rsidR="001C61D9" w:rsidRPr="001D4F4A">
              <w:rPr>
                <w:rFonts w:asciiTheme="majorHAnsi" w:hAnsiTheme="majorHAnsi"/>
                <w:i/>
                <w:iCs/>
              </w:rPr>
              <w:t xml:space="preserve"> responsibilities, </w:t>
            </w:r>
            <w:r w:rsidR="00970C61" w:rsidRPr="001D4F4A">
              <w:rPr>
                <w:rFonts w:asciiTheme="majorHAnsi" w:hAnsiTheme="majorHAnsi"/>
                <w:i/>
                <w:iCs/>
              </w:rPr>
              <w:t>codes</w:t>
            </w:r>
            <w:r w:rsidR="00970C61" w:rsidRPr="001B0867">
              <w:rPr>
                <w:rFonts w:asciiTheme="majorHAnsi" w:hAnsiTheme="majorHAnsi"/>
                <w:i/>
                <w:iCs/>
              </w:rPr>
              <w:t xml:space="preserve"> of</w:t>
            </w:r>
            <w:r w:rsidR="001C61D9" w:rsidRPr="001B0867">
              <w:rPr>
                <w:rFonts w:asciiTheme="majorHAnsi" w:hAnsiTheme="majorHAnsi"/>
                <w:i/>
                <w:iCs/>
              </w:rPr>
              <w:t xml:space="preserve"> p</w:t>
            </w:r>
            <w:r w:rsidRPr="001B0867">
              <w:rPr>
                <w:rFonts w:asciiTheme="majorHAnsi" w:hAnsiTheme="majorHAnsi"/>
                <w:i/>
                <w:iCs/>
              </w:rPr>
              <w:t>ractice</w:t>
            </w:r>
            <w:r w:rsidR="001C61D9" w:rsidRPr="001B0867">
              <w:rPr>
                <w:rFonts w:asciiTheme="majorHAnsi" w:hAnsiTheme="majorHAnsi"/>
                <w:i/>
                <w:iCs/>
              </w:rPr>
              <w:t xml:space="preserve"> and accepted best practice.</w:t>
            </w:r>
            <w:r w:rsidRPr="001B0867">
              <w:rPr>
                <w:rFonts w:asciiTheme="majorHAnsi" w:hAnsiTheme="majorHAnsi"/>
                <w:i/>
                <w:iCs/>
              </w:rPr>
              <w:br/>
            </w:r>
          </w:p>
        </w:tc>
        <w:tc>
          <w:tcPr>
            <w:tcW w:w="454" w:type="pct"/>
            <w:vMerge/>
            <w:textDirection w:val="btLr"/>
          </w:tcPr>
          <w:p w14:paraId="5BBE78E3" w14:textId="77777777" w:rsidR="00406D27" w:rsidRPr="001B0867" w:rsidRDefault="00406D27" w:rsidP="00CB7DF9">
            <w:pPr>
              <w:tabs>
                <w:tab w:val="left" w:pos="8"/>
              </w:tabs>
              <w:spacing w:after="60"/>
              <w:ind w:left="227" w:right="113" w:hanging="227"/>
              <w:rPr>
                <w:rFonts w:asciiTheme="majorHAnsi" w:hAnsiTheme="majorHAnsi"/>
                <w:lang w:val="en-US"/>
              </w:rPr>
            </w:pPr>
          </w:p>
        </w:tc>
        <w:tc>
          <w:tcPr>
            <w:tcW w:w="2346" w:type="pct"/>
          </w:tcPr>
          <w:p w14:paraId="3530715C" w14:textId="77777777" w:rsidR="00970C61" w:rsidRPr="001B0867" w:rsidRDefault="00970C61" w:rsidP="00970C61">
            <w:pPr>
              <w:pStyle w:val="ListBullet"/>
              <w:spacing w:after="0"/>
              <w:ind w:left="357" w:hanging="357"/>
              <w:rPr>
                <w:rFonts w:asciiTheme="majorHAnsi" w:hAnsiTheme="majorHAnsi"/>
              </w:rPr>
            </w:pPr>
          </w:p>
          <w:p w14:paraId="1E79A88C" w14:textId="77777777" w:rsidR="00970C61" w:rsidRPr="001B0867" w:rsidRDefault="001C61D9" w:rsidP="00970C61">
            <w:pPr>
              <w:pStyle w:val="ListBullet"/>
              <w:spacing w:after="0"/>
              <w:ind w:left="357" w:hanging="357"/>
              <w:rPr>
                <w:rFonts w:asciiTheme="majorHAnsi" w:hAnsiTheme="majorHAnsi"/>
              </w:rPr>
            </w:pPr>
            <w:r w:rsidRPr="001B0867">
              <w:rPr>
                <w:rFonts w:asciiTheme="majorHAnsi" w:hAnsiTheme="majorHAnsi"/>
              </w:rPr>
              <w:t>Module 7</w:t>
            </w:r>
            <w:r w:rsidR="00970C61" w:rsidRPr="001B0867">
              <w:rPr>
                <w:rFonts w:asciiTheme="majorHAnsi" w:hAnsiTheme="majorHAnsi"/>
              </w:rPr>
              <w:t xml:space="preserve"> (</w:t>
            </w:r>
            <w:r w:rsidR="00EC7A5E">
              <w:rPr>
                <w:rFonts w:asciiTheme="majorHAnsi" w:hAnsiTheme="majorHAnsi"/>
              </w:rPr>
              <w:t>55</w:t>
            </w:r>
            <w:r w:rsidR="00970C61" w:rsidRPr="001B0867">
              <w:rPr>
                <w:rFonts w:asciiTheme="majorHAnsi" w:hAnsiTheme="majorHAnsi"/>
              </w:rPr>
              <w:t xml:space="preserve"> minutes)</w:t>
            </w:r>
          </w:p>
          <w:p w14:paraId="3C43B955" w14:textId="77777777" w:rsidR="00406D27" w:rsidRPr="001B0867" w:rsidRDefault="00406D27" w:rsidP="00970C61">
            <w:pPr>
              <w:pStyle w:val="ListBullet"/>
              <w:spacing w:after="0"/>
              <w:ind w:left="357" w:hanging="357"/>
              <w:rPr>
                <w:rFonts w:asciiTheme="majorHAnsi" w:hAnsiTheme="majorHAnsi"/>
              </w:rPr>
            </w:pPr>
            <w:r w:rsidRPr="001B0867">
              <w:rPr>
                <w:rFonts w:asciiTheme="majorHAnsi" w:hAnsiTheme="majorHAnsi"/>
                <w:i/>
                <w:iCs/>
              </w:rPr>
              <w:t>Emergencies</w:t>
            </w:r>
          </w:p>
          <w:p w14:paraId="0D29CDBF" w14:textId="77777777" w:rsidR="00970C61" w:rsidRPr="001B0867" w:rsidRDefault="00970C61" w:rsidP="00970C61">
            <w:pPr>
              <w:pStyle w:val="ListBullet"/>
              <w:spacing w:after="0"/>
              <w:rPr>
                <w:rFonts w:asciiTheme="majorHAnsi" w:hAnsiTheme="majorHAnsi"/>
              </w:rPr>
            </w:pPr>
          </w:p>
          <w:p w14:paraId="17C6C007" w14:textId="77777777" w:rsidR="00406D27" w:rsidRPr="001B0867" w:rsidRDefault="00406D27" w:rsidP="00970C61">
            <w:pPr>
              <w:pStyle w:val="ListBullet"/>
              <w:spacing w:after="0"/>
              <w:rPr>
                <w:rFonts w:asciiTheme="majorHAnsi" w:hAnsiTheme="majorHAnsi"/>
              </w:rPr>
            </w:pPr>
            <w:r w:rsidRPr="001B0867">
              <w:rPr>
                <w:rFonts w:asciiTheme="majorHAnsi" w:hAnsiTheme="majorHAnsi"/>
              </w:rPr>
              <w:t>Wrap up</w:t>
            </w:r>
            <w:r w:rsidR="00EC7A5E">
              <w:rPr>
                <w:rFonts w:asciiTheme="majorHAnsi" w:hAnsiTheme="majorHAnsi"/>
              </w:rPr>
              <w:t xml:space="preserve"> (15 minutes)</w:t>
            </w:r>
          </w:p>
          <w:p w14:paraId="3EC18364" w14:textId="77777777" w:rsidR="00970C61" w:rsidRPr="001B0867" w:rsidRDefault="00970C61" w:rsidP="00970C61">
            <w:pPr>
              <w:pStyle w:val="ListBullet"/>
              <w:spacing w:after="0"/>
              <w:rPr>
                <w:rFonts w:asciiTheme="majorHAnsi" w:hAnsiTheme="majorHAnsi"/>
              </w:rPr>
            </w:pPr>
          </w:p>
          <w:p w14:paraId="20DA6BAC" w14:textId="77777777" w:rsidR="00406D27" w:rsidRPr="001B0867" w:rsidRDefault="00406D27" w:rsidP="00970C61">
            <w:pPr>
              <w:pStyle w:val="ListBullet"/>
              <w:spacing w:after="0"/>
              <w:rPr>
                <w:rFonts w:asciiTheme="majorHAnsi" w:hAnsiTheme="majorHAnsi"/>
              </w:rPr>
            </w:pPr>
            <w:r w:rsidRPr="001B0867">
              <w:rPr>
                <w:rFonts w:asciiTheme="majorHAnsi" w:hAnsiTheme="majorHAnsi"/>
              </w:rPr>
              <w:t>Evaluation</w:t>
            </w:r>
            <w:r w:rsidR="00EC7A5E">
              <w:rPr>
                <w:rFonts w:asciiTheme="majorHAnsi" w:hAnsiTheme="majorHAnsi"/>
              </w:rPr>
              <w:t xml:space="preserve"> (5 minutes)</w:t>
            </w:r>
          </w:p>
        </w:tc>
      </w:tr>
    </w:tbl>
    <w:p w14:paraId="1081BCD3" w14:textId="77777777" w:rsidR="00406D27" w:rsidRPr="001B0867" w:rsidRDefault="00406D27" w:rsidP="00406D27">
      <w:pPr>
        <w:rPr>
          <w:rFonts w:asciiTheme="majorHAnsi" w:hAnsiTheme="majorHAnsi"/>
        </w:rPr>
      </w:pPr>
    </w:p>
    <w:sectPr w:rsidR="00406D27" w:rsidRPr="001B0867" w:rsidSect="00F52341">
      <w:footerReference w:type="even" r:id="rId15"/>
      <w:footerReference w:type="default" r:id="rId16"/>
      <w:pgSz w:w="11906" w:h="16838"/>
      <w:pgMar w:top="1247"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2DFEC" w14:textId="77777777" w:rsidR="00E91059" w:rsidRDefault="00E91059" w:rsidP="00801051">
      <w:pPr>
        <w:spacing w:after="0"/>
      </w:pPr>
      <w:r>
        <w:separator/>
      </w:r>
    </w:p>
  </w:endnote>
  <w:endnote w:type="continuationSeparator" w:id="0">
    <w:p w14:paraId="1B4DC56A" w14:textId="77777777" w:rsidR="00E91059" w:rsidRDefault="00E91059" w:rsidP="008010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4E181" w14:textId="77777777" w:rsidR="00E91059" w:rsidRDefault="00E91059" w:rsidP="00E910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F4207" w14:textId="77777777" w:rsidR="00E91059" w:rsidRDefault="00E91059" w:rsidP="0080105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3C06D" w14:textId="77777777" w:rsidR="00E91059" w:rsidRDefault="00E91059" w:rsidP="00E910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7E5D">
      <w:rPr>
        <w:rStyle w:val="PageNumber"/>
        <w:noProof/>
      </w:rPr>
      <w:t>1</w:t>
    </w:r>
    <w:r>
      <w:rPr>
        <w:rStyle w:val="PageNumber"/>
      </w:rPr>
      <w:fldChar w:fldCharType="end"/>
    </w:r>
  </w:p>
  <w:p w14:paraId="577F4841" w14:textId="77777777" w:rsidR="00E91059" w:rsidRDefault="00E91059" w:rsidP="0080105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27D4C" w14:textId="77777777" w:rsidR="00E91059" w:rsidRDefault="00E91059" w:rsidP="00801051">
      <w:pPr>
        <w:spacing w:after="0"/>
      </w:pPr>
      <w:r>
        <w:separator/>
      </w:r>
    </w:p>
  </w:footnote>
  <w:footnote w:type="continuationSeparator" w:id="0">
    <w:p w14:paraId="748A8B66" w14:textId="77777777" w:rsidR="00E91059" w:rsidRDefault="00E91059" w:rsidP="00801051">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0E43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0FBE483E"/>
    <w:lvl w:ilvl="0">
      <w:start w:val="1"/>
      <w:numFmt w:val="decimal"/>
      <w:lvlText w:val="%1."/>
      <w:lvlJc w:val="left"/>
      <w:pPr>
        <w:ind w:left="360" w:hanging="360"/>
      </w:pPr>
      <w:rPr>
        <w:rFonts w:hint="default"/>
        <w:color w:val="auto"/>
      </w:rPr>
    </w:lvl>
  </w:abstractNum>
  <w:abstractNum w:abstractNumId="2">
    <w:nsid w:val="13026AF2"/>
    <w:multiLevelType w:val="hybridMultilevel"/>
    <w:tmpl w:val="75D855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45E7C01"/>
    <w:multiLevelType w:val="hybridMultilevel"/>
    <w:tmpl w:val="2D8EFD4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22BD7022"/>
    <w:multiLevelType w:val="hybridMultilevel"/>
    <w:tmpl w:val="0A747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2C79AF"/>
    <w:multiLevelType w:val="hybridMultilevel"/>
    <w:tmpl w:val="6726805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317178AA"/>
    <w:multiLevelType w:val="hybridMultilevel"/>
    <w:tmpl w:val="BBAA0A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41B863D6"/>
    <w:multiLevelType w:val="hybridMultilevel"/>
    <w:tmpl w:val="8AA082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533F659B"/>
    <w:multiLevelType w:val="hybridMultilevel"/>
    <w:tmpl w:val="C232691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610F36DC"/>
    <w:multiLevelType w:val="hybridMultilevel"/>
    <w:tmpl w:val="B37E875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64E27403"/>
    <w:multiLevelType w:val="hybridMultilevel"/>
    <w:tmpl w:val="BB52F1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6FC641F6"/>
    <w:multiLevelType w:val="hybridMultilevel"/>
    <w:tmpl w:val="B76E979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75564296"/>
    <w:multiLevelType w:val="hybridMultilevel"/>
    <w:tmpl w:val="503471D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EE5575"/>
    <w:multiLevelType w:val="hybridMultilevel"/>
    <w:tmpl w:val="EE98DCE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nsid w:val="7BF77341"/>
    <w:multiLevelType w:val="hybridMultilevel"/>
    <w:tmpl w:val="5C9E736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5">
    <w:nsid w:val="7F1D3DDF"/>
    <w:multiLevelType w:val="hybridMultilevel"/>
    <w:tmpl w:val="581475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10"/>
  </w:num>
  <w:num w:numId="5">
    <w:abstractNumId w:val="5"/>
  </w:num>
  <w:num w:numId="6">
    <w:abstractNumId w:val="11"/>
  </w:num>
  <w:num w:numId="7">
    <w:abstractNumId w:val="14"/>
  </w:num>
  <w:num w:numId="8">
    <w:abstractNumId w:val="2"/>
  </w:num>
  <w:num w:numId="9">
    <w:abstractNumId w:val="3"/>
  </w:num>
  <w:num w:numId="10">
    <w:abstractNumId w:val="9"/>
  </w:num>
  <w:num w:numId="11">
    <w:abstractNumId w:val="8"/>
  </w:num>
  <w:num w:numId="12">
    <w:abstractNumId w:val="0"/>
  </w:num>
  <w:num w:numId="13">
    <w:abstractNumId w:val="4"/>
  </w:num>
  <w:num w:numId="14">
    <w:abstractNumId w:val="13"/>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07961"/>
    <w:rsid w:val="00044FE0"/>
    <w:rsid w:val="000E1304"/>
    <w:rsid w:val="001157A0"/>
    <w:rsid w:val="0017743A"/>
    <w:rsid w:val="00180E24"/>
    <w:rsid w:val="001B0867"/>
    <w:rsid w:val="001C61D9"/>
    <w:rsid w:val="001D4F4A"/>
    <w:rsid w:val="001D56DD"/>
    <w:rsid w:val="00292B97"/>
    <w:rsid w:val="002C0CFF"/>
    <w:rsid w:val="002C4F11"/>
    <w:rsid w:val="002F7CF9"/>
    <w:rsid w:val="003131CB"/>
    <w:rsid w:val="00330E85"/>
    <w:rsid w:val="00331F5A"/>
    <w:rsid w:val="003A7854"/>
    <w:rsid w:val="003E0062"/>
    <w:rsid w:val="003F4238"/>
    <w:rsid w:val="00406D27"/>
    <w:rsid w:val="004423FE"/>
    <w:rsid w:val="004C69A6"/>
    <w:rsid w:val="004D4C53"/>
    <w:rsid w:val="004F20C4"/>
    <w:rsid w:val="005128BC"/>
    <w:rsid w:val="00524275"/>
    <w:rsid w:val="00603397"/>
    <w:rsid w:val="00621169"/>
    <w:rsid w:val="00646B1C"/>
    <w:rsid w:val="00650F51"/>
    <w:rsid w:val="006927AC"/>
    <w:rsid w:val="006C0A22"/>
    <w:rsid w:val="006C712D"/>
    <w:rsid w:val="006E76AA"/>
    <w:rsid w:val="00705030"/>
    <w:rsid w:val="007B6E89"/>
    <w:rsid w:val="007E0264"/>
    <w:rsid w:val="007E1B8D"/>
    <w:rsid w:val="007F034A"/>
    <w:rsid w:val="00801051"/>
    <w:rsid w:val="00826F33"/>
    <w:rsid w:val="008411C1"/>
    <w:rsid w:val="00843805"/>
    <w:rsid w:val="00922B53"/>
    <w:rsid w:val="00964B8C"/>
    <w:rsid w:val="00970C61"/>
    <w:rsid w:val="009A191A"/>
    <w:rsid w:val="009D7624"/>
    <w:rsid w:val="00A13D57"/>
    <w:rsid w:val="00A2161D"/>
    <w:rsid w:val="00AB41C1"/>
    <w:rsid w:val="00AB7E5D"/>
    <w:rsid w:val="00AD7B93"/>
    <w:rsid w:val="00B041AF"/>
    <w:rsid w:val="00BA23ED"/>
    <w:rsid w:val="00C07961"/>
    <w:rsid w:val="00C50840"/>
    <w:rsid w:val="00C51B29"/>
    <w:rsid w:val="00C72E58"/>
    <w:rsid w:val="00CB7DF9"/>
    <w:rsid w:val="00CF52A1"/>
    <w:rsid w:val="00D46386"/>
    <w:rsid w:val="00E24E9F"/>
    <w:rsid w:val="00E367C5"/>
    <w:rsid w:val="00E91059"/>
    <w:rsid w:val="00E96C2C"/>
    <w:rsid w:val="00EC7A5E"/>
    <w:rsid w:val="00F024FE"/>
    <w:rsid w:val="00F25E4C"/>
    <w:rsid w:val="00F52341"/>
    <w:rsid w:val="00FF0235"/>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06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961"/>
    <w:pPr>
      <w:widowControl w:val="0"/>
      <w:tabs>
        <w:tab w:val="left" w:pos="357"/>
      </w:tabs>
      <w:adjustRightInd w:val="0"/>
      <w:spacing w:after="120"/>
      <w:textAlignment w:val="baseline"/>
    </w:pPr>
    <w:rPr>
      <w:rFonts w:ascii="Tahoma" w:eastAsia="Times New Roman" w:hAnsi="Tahoma" w:cs="Tahoma"/>
      <w:sz w:val="22"/>
      <w:szCs w:val="24"/>
      <w:lang w:val="en-NZ" w:eastAsia="en-AU"/>
    </w:rPr>
  </w:style>
  <w:style w:type="paragraph" w:styleId="Heading2">
    <w:name w:val="heading 2"/>
    <w:basedOn w:val="Normal"/>
    <w:next w:val="Normal"/>
    <w:link w:val="Heading2Char"/>
    <w:uiPriority w:val="99"/>
    <w:qFormat/>
    <w:rsid w:val="00C07961"/>
    <w:pPr>
      <w:keepNext/>
      <w:tabs>
        <w:tab w:val="left" w:pos="567"/>
      </w:tabs>
      <w:spacing w:before="240"/>
      <w:outlineLvl w:val="1"/>
    </w:pPr>
    <w:rPr>
      <w:rFonts w:ascii="Book Antiqua" w:hAnsi="Book Antiqua" w:cs="Arial"/>
      <w:b/>
      <w:bCs/>
      <w:iCs/>
      <w:kern w:val="32"/>
      <w:sz w:val="28"/>
      <w:szCs w:val="28"/>
    </w:rPr>
  </w:style>
  <w:style w:type="paragraph" w:styleId="Heading3">
    <w:name w:val="heading 3"/>
    <w:basedOn w:val="Normal"/>
    <w:next w:val="Normal"/>
    <w:link w:val="Heading3Char"/>
    <w:uiPriority w:val="9"/>
    <w:qFormat/>
    <w:rsid w:val="00406D27"/>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C07961"/>
    <w:rPr>
      <w:rFonts w:ascii="Book Antiqua" w:eastAsia="Times New Roman" w:hAnsi="Book Antiqua" w:cs="Arial"/>
      <w:b/>
      <w:bCs/>
      <w:iCs/>
      <w:kern w:val="32"/>
      <w:sz w:val="28"/>
      <w:szCs w:val="28"/>
      <w:lang w:eastAsia="en-AU"/>
    </w:rPr>
  </w:style>
  <w:style w:type="paragraph" w:styleId="Title">
    <w:name w:val="Title"/>
    <w:basedOn w:val="Normal"/>
    <w:link w:val="TitleChar"/>
    <w:uiPriority w:val="10"/>
    <w:qFormat/>
    <w:rsid w:val="00C07961"/>
    <w:pPr>
      <w:spacing w:before="240" w:after="240"/>
      <w:jc w:val="center"/>
      <w:outlineLvl w:val="0"/>
    </w:pPr>
    <w:rPr>
      <w:rFonts w:ascii="Book Antiqua" w:hAnsi="Book Antiqua"/>
      <w:b/>
      <w:bCs/>
      <w:kern w:val="28"/>
      <w:sz w:val="48"/>
      <w:szCs w:val="32"/>
    </w:rPr>
  </w:style>
  <w:style w:type="character" w:customStyle="1" w:styleId="TitleChar">
    <w:name w:val="Title Char"/>
    <w:link w:val="Title"/>
    <w:uiPriority w:val="10"/>
    <w:rsid w:val="00C07961"/>
    <w:rPr>
      <w:rFonts w:ascii="Book Antiqua" w:eastAsia="Times New Roman" w:hAnsi="Book Antiqua" w:cs="Tahoma"/>
      <w:b/>
      <w:bCs/>
      <w:kern w:val="28"/>
      <w:sz w:val="48"/>
      <w:szCs w:val="32"/>
      <w:lang w:eastAsia="en-AU"/>
    </w:rPr>
  </w:style>
  <w:style w:type="paragraph" w:styleId="BalloonText">
    <w:name w:val="Balloon Text"/>
    <w:basedOn w:val="Normal"/>
    <w:link w:val="BalloonTextChar"/>
    <w:uiPriority w:val="99"/>
    <w:semiHidden/>
    <w:unhideWhenUsed/>
    <w:rsid w:val="00C07961"/>
    <w:pPr>
      <w:spacing w:after="0"/>
    </w:pPr>
    <w:rPr>
      <w:sz w:val="16"/>
      <w:szCs w:val="16"/>
    </w:rPr>
  </w:style>
  <w:style w:type="character" w:customStyle="1" w:styleId="BalloonTextChar">
    <w:name w:val="Balloon Text Char"/>
    <w:link w:val="BalloonText"/>
    <w:uiPriority w:val="99"/>
    <w:semiHidden/>
    <w:rsid w:val="00C07961"/>
    <w:rPr>
      <w:rFonts w:ascii="Tahoma" w:eastAsia="Times New Roman" w:hAnsi="Tahoma" w:cs="Tahoma"/>
      <w:sz w:val="16"/>
      <w:szCs w:val="16"/>
      <w:lang w:eastAsia="en-AU"/>
    </w:rPr>
  </w:style>
  <w:style w:type="paragraph" w:customStyle="1" w:styleId="ColorfulList-Accent11">
    <w:name w:val="Colorful List - Accent 11"/>
    <w:basedOn w:val="Normal"/>
    <w:uiPriority w:val="34"/>
    <w:qFormat/>
    <w:rsid w:val="00406D27"/>
    <w:pPr>
      <w:widowControl/>
      <w:tabs>
        <w:tab w:val="clear" w:pos="357"/>
      </w:tabs>
      <w:adjustRightInd/>
      <w:spacing w:after="200" w:line="276" w:lineRule="auto"/>
      <w:ind w:left="720"/>
      <w:contextualSpacing/>
      <w:textAlignment w:val="auto"/>
    </w:pPr>
    <w:rPr>
      <w:rFonts w:ascii="Calibri" w:eastAsia="Calibri" w:hAnsi="Calibri" w:cs="Times New Roman"/>
      <w:szCs w:val="22"/>
      <w:lang w:eastAsia="en-US"/>
    </w:rPr>
  </w:style>
  <w:style w:type="character" w:customStyle="1" w:styleId="Heading3Char">
    <w:name w:val="Heading 3 Char"/>
    <w:link w:val="Heading3"/>
    <w:uiPriority w:val="9"/>
    <w:semiHidden/>
    <w:rsid w:val="00406D27"/>
    <w:rPr>
      <w:rFonts w:ascii="Cambria" w:eastAsia="Times New Roman" w:hAnsi="Cambria" w:cs="Times New Roman"/>
      <w:b/>
      <w:bCs/>
      <w:color w:val="4F81BD"/>
      <w:szCs w:val="24"/>
      <w:lang w:eastAsia="en-AU"/>
    </w:rPr>
  </w:style>
  <w:style w:type="paragraph" w:styleId="ListBullet">
    <w:name w:val="List Bullet"/>
    <w:basedOn w:val="Normal"/>
    <w:uiPriority w:val="99"/>
    <w:rsid w:val="00406D27"/>
    <w:pPr>
      <w:tabs>
        <w:tab w:val="clear" w:pos="357"/>
      </w:tabs>
      <w:autoSpaceDE w:val="0"/>
      <w:autoSpaceDN w:val="0"/>
    </w:pPr>
    <w:rPr>
      <w:lang w:val="en-US"/>
    </w:rPr>
  </w:style>
  <w:style w:type="character" w:customStyle="1" w:styleId="ListBulletshade">
    <w:name w:val="List Bullet shade"/>
    <w:uiPriority w:val="99"/>
    <w:rsid w:val="00406D27"/>
    <w:rPr>
      <w:rFonts w:ascii="Tahoma" w:hAnsi="Tahoma"/>
      <w:sz w:val="24"/>
    </w:rPr>
  </w:style>
  <w:style w:type="character" w:styleId="CommentReference">
    <w:name w:val="annotation reference"/>
    <w:uiPriority w:val="99"/>
    <w:semiHidden/>
    <w:unhideWhenUsed/>
    <w:rsid w:val="001D56DD"/>
    <w:rPr>
      <w:sz w:val="16"/>
      <w:szCs w:val="16"/>
    </w:rPr>
  </w:style>
  <w:style w:type="paragraph" w:styleId="CommentText">
    <w:name w:val="annotation text"/>
    <w:basedOn w:val="Normal"/>
    <w:link w:val="CommentTextChar"/>
    <w:uiPriority w:val="99"/>
    <w:semiHidden/>
    <w:unhideWhenUsed/>
    <w:rsid w:val="001D56DD"/>
    <w:rPr>
      <w:sz w:val="20"/>
      <w:szCs w:val="20"/>
    </w:rPr>
  </w:style>
  <w:style w:type="character" w:customStyle="1" w:styleId="CommentTextChar">
    <w:name w:val="Comment Text Char"/>
    <w:link w:val="CommentText"/>
    <w:uiPriority w:val="99"/>
    <w:semiHidden/>
    <w:rsid w:val="001D56DD"/>
    <w:rPr>
      <w:rFonts w:ascii="Tahoma" w:eastAsia="Times New Roman" w:hAnsi="Tahoma" w:cs="Tahoma"/>
      <w:sz w:val="20"/>
      <w:szCs w:val="20"/>
      <w:lang w:eastAsia="en-AU"/>
    </w:rPr>
  </w:style>
  <w:style w:type="paragraph" w:styleId="CommentSubject">
    <w:name w:val="annotation subject"/>
    <w:basedOn w:val="CommentText"/>
    <w:next w:val="CommentText"/>
    <w:link w:val="CommentSubjectChar"/>
    <w:uiPriority w:val="99"/>
    <w:semiHidden/>
    <w:unhideWhenUsed/>
    <w:rsid w:val="001D56DD"/>
    <w:rPr>
      <w:b/>
      <w:bCs/>
    </w:rPr>
  </w:style>
  <w:style w:type="character" w:customStyle="1" w:styleId="CommentSubjectChar">
    <w:name w:val="Comment Subject Char"/>
    <w:link w:val="CommentSubject"/>
    <w:uiPriority w:val="99"/>
    <w:semiHidden/>
    <w:rsid w:val="001D56DD"/>
    <w:rPr>
      <w:rFonts w:ascii="Tahoma" w:eastAsia="Times New Roman" w:hAnsi="Tahoma" w:cs="Tahoma"/>
      <w:b/>
      <w:bCs/>
      <w:sz w:val="20"/>
      <w:szCs w:val="20"/>
      <w:lang w:eastAsia="en-AU"/>
    </w:rPr>
  </w:style>
  <w:style w:type="character" w:styleId="Hyperlink">
    <w:name w:val="Hyperlink"/>
    <w:uiPriority w:val="99"/>
    <w:unhideWhenUsed/>
    <w:rsid w:val="00C50840"/>
    <w:rPr>
      <w:color w:val="0000FF"/>
      <w:u w:val="single"/>
    </w:rPr>
  </w:style>
  <w:style w:type="paragraph" w:styleId="ListParagraph">
    <w:name w:val="List Paragraph"/>
    <w:basedOn w:val="Normal"/>
    <w:uiPriority w:val="34"/>
    <w:qFormat/>
    <w:rsid w:val="00BA23ED"/>
    <w:pPr>
      <w:ind w:left="720"/>
      <w:contextualSpacing/>
    </w:pPr>
  </w:style>
  <w:style w:type="paragraph" w:styleId="Footer">
    <w:name w:val="footer"/>
    <w:basedOn w:val="Normal"/>
    <w:link w:val="FooterChar"/>
    <w:uiPriority w:val="99"/>
    <w:unhideWhenUsed/>
    <w:rsid w:val="00801051"/>
    <w:pPr>
      <w:tabs>
        <w:tab w:val="clear" w:pos="357"/>
        <w:tab w:val="center" w:pos="4320"/>
        <w:tab w:val="right" w:pos="8640"/>
      </w:tabs>
      <w:spacing w:after="0"/>
    </w:pPr>
  </w:style>
  <w:style w:type="character" w:customStyle="1" w:styleId="FooterChar">
    <w:name w:val="Footer Char"/>
    <w:basedOn w:val="DefaultParagraphFont"/>
    <w:link w:val="Footer"/>
    <w:uiPriority w:val="99"/>
    <w:rsid w:val="00801051"/>
    <w:rPr>
      <w:rFonts w:ascii="Tahoma" w:eastAsia="Times New Roman" w:hAnsi="Tahoma" w:cs="Tahoma"/>
      <w:sz w:val="22"/>
      <w:szCs w:val="24"/>
      <w:lang w:val="en-NZ" w:eastAsia="en-AU"/>
    </w:rPr>
  </w:style>
  <w:style w:type="character" w:styleId="PageNumber">
    <w:name w:val="page number"/>
    <w:basedOn w:val="DefaultParagraphFont"/>
    <w:uiPriority w:val="99"/>
    <w:semiHidden/>
    <w:unhideWhenUsed/>
    <w:rsid w:val="0080105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961"/>
    <w:pPr>
      <w:widowControl w:val="0"/>
      <w:tabs>
        <w:tab w:val="left" w:pos="357"/>
      </w:tabs>
      <w:adjustRightInd w:val="0"/>
      <w:spacing w:after="120"/>
      <w:textAlignment w:val="baseline"/>
    </w:pPr>
    <w:rPr>
      <w:rFonts w:ascii="Tahoma" w:eastAsia="Times New Roman" w:hAnsi="Tahoma" w:cs="Tahoma"/>
      <w:sz w:val="22"/>
      <w:szCs w:val="24"/>
      <w:lang w:val="en-NZ" w:eastAsia="en-AU"/>
    </w:rPr>
  </w:style>
  <w:style w:type="paragraph" w:styleId="Heading2">
    <w:name w:val="heading 2"/>
    <w:basedOn w:val="Normal"/>
    <w:next w:val="Normal"/>
    <w:link w:val="Heading2Char"/>
    <w:uiPriority w:val="99"/>
    <w:qFormat/>
    <w:rsid w:val="00C07961"/>
    <w:pPr>
      <w:keepNext/>
      <w:tabs>
        <w:tab w:val="left" w:pos="567"/>
      </w:tabs>
      <w:spacing w:before="240"/>
      <w:outlineLvl w:val="1"/>
    </w:pPr>
    <w:rPr>
      <w:rFonts w:ascii="Book Antiqua" w:hAnsi="Book Antiqua" w:cs="Arial"/>
      <w:b/>
      <w:bCs/>
      <w:iCs/>
      <w:kern w:val="32"/>
      <w:sz w:val="28"/>
      <w:szCs w:val="28"/>
    </w:rPr>
  </w:style>
  <w:style w:type="paragraph" w:styleId="Heading3">
    <w:name w:val="heading 3"/>
    <w:basedOn w:val="Normal"/>
    <w:next w:val="Normal"/>
    <w:link w:val="Heading3Char"/>
    <w:uiPriority w:val="9"/>
    <w:qFormat/>
    <w:rsid w:val="00406D27"/>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C07961"/>
    <w:rPr>
      <w:rFonts w:ascii="Book Antiqua" w:eastAsia="Times New Roman" w:hAnsi="Book Antiqua" w:cs="Arial"/>
      <w:b/>
      <w:bCs/>
      <w:iCs/>
      <w:kern w:val="32"/>
      <w:sz w:val="28"/>
      <w:szCs w:val="28"/>
      <w:lang w:eastAsia="en-AU"/>
    </w:rPr>
  </w:style>
  <w:style w:type="paragraph" w:styleId="Title">
    <w:name w:val="Title"/>
    <w:basedOn w:val="Normal"/>
    <w:link w:val="TitleChar"/>
    <w:uiPriority w:val="10"/>
    <w:qFormat/>
    <w:rsid w:val="00C07961"/>
    <w:pPr>
      <w:spacing w:before="240" w:after="240"/>
      <w:jc w:val="center"/>
      <w:outlineLvl w:val="0"/>
    </w:pPr>
    <w:rPr>
      <w:rFonts w:ascii="Book Antiqua" w:hAnsi="Book Antiqua"/>
      <w:b/>
      <w:bCs/>
      <w:kern w:val="28"/>
      <w:sz w:val="48"/>
      <w:szCs w:val="32"/>
    </w:rPr>
  </w:style>
  <w:style w:type="character" w:customStyle="1" w:styleId="TitleChar">
    <w:name w:val="Title Char"/>
    <w:link w:val="Title"/>
    <w:uiPriority w:val="10"/>
    <w:rsid w:val="00C07961"/>
    <w:rPr>
      <w:rFonts w:ascii="Book Antiqua" w:eastAsia="Times New Roman" w:hAnsi="Book Antiqua" w:cs="Tahoma"/>
      <w:b/>
      <w:bCs/>
      <w:kern w:val="28"/>
      <w:sz w:val="48"/>
      <w:szCs w:val="32"/>
      <w:lang w:eastAsia="en-AU"/>
    </w:rPr>
  </w:style>
  <w:style w:type="paragraph" w:styleId="BalloonText">
    <w:name w:val="Balloon Text"/>
    <w:basedOn w:val="Normal"/>
    <w:link w:val="BalloonTextChar"/>
    <w:uiPriority w:val="99"/>
    <w:semiHidden/>
    <w:unhideWhenUsed/>
    <w:rsid w:val="00C07961"/>
    <w:pPr>
      <w:spacing w:after="0"/>
    </w:pPr>
    <w:rPr>
      <w:sz w:val="16"/>
      <w:szCs w:val="16"/>
    </w:rPr>
  </w:style>
  <w:style w:type="character" w:customStyle="1" w:styleId="BalloonTextChar">
    <w:name w:val="Balloon Text Char"/>
    <w:link w:val="BalloonText"/>
    <w:uiPriority w:val="99"/>
    <w:semiHidden/>
    <w:rsid w:val="00C07961"/>
    <w:rPr>
      <w:rFonts w:ascii="Tahoma" w:eastAsia="Times New Roman" w:hAnsi="Tahoma" w:cs="Tahoma"/>
      <w:sz w:val="16"/>
      <w:szCs w:val="16"/>
      <w:lang w:eastAsia="en-AU"/>
    </w:rPr>
  </w:style>
  <w:style w:type="paragraph" w:customStyle="1" w:styleId="ColorfulList-Accent11">
    <w:name w:val="Colorful List - Accent 11"/>
    <w:basedOn w:val="Normal"/>
    <w:uiPriority w:val="34"/>
    <w:qFormat/>
    <w:rsid w:val="00406D27"/>
    <w:pPr>
      <w:widowControl/>
      <w:tabs>
        <w:tab w:val="clear" w:pos="357"/>
      </w:tabs>
      <w:adjustRightInd/>
      <w:spacing w:after="200" w:line="276" w:lineRule="auto"/>
      <w:ind w:left="720"/>
      <w:contextualSpacing/>
      <w:textAlignment w:val="auto"/>
    </w:pPr>
    <w:rPr>
      <w:rFonts w:ascii="Calibri" w:eastAsia="Calibri" w:hAnsi="Calibri" w:cs="Times New Roman"/>
      <w:szCs w:val="22"/>
      <w:lang w:eastAsia="en-US"/>
    </w:rPr>
  </w:style>
  <w:style w:type="character" w:customStyle="1" w:styleId="Heading3Char">
    <w:name w:val="Heading 3 Char"/>
    <w:link w:val="Heading3"/>
    <w:uiPriority w:val="9"/>
    <w:semiHidden/>
    <w:rsid w:val="00406D27"/>
    <w:rPr>
      <w:rFonts w:ascii="Cambria" w:eastAsia="Times New Roman" w:hAnsi="Cambria" w:cs="Times New Roman"/>
      <w:b/>
      <w:bCs/>
      <w:color w:val="4F81BD"/>
      <w:szCs w:val="24"/>
      <w:lang w:eastAsia="en-AU"/>
    </w:rPr>
  </w:style>
  <w:style w:type="paragraph" w:styleId="ListBullet">
    <w:name w:val="List Bullet"/>
    <w:basedOn w:val="Normal"/>
    <w:uiPriority w:val="99"/>
    <w:rsid w:val="00406D27"/>
    <w:pPr>
      <w:tabs>
        <w:tab w:val="clear" w:pos="357"/>
      </w:tabs>
      <w:autoSpaceDE w:val="0"/>
      <w:autoSpaceDN w:val="0"/>
    </w:pPr>
    <w:rPr>
      <w:lang w:val="en-US"/>
    </w:rPr>
  </w:style>
  <w:style w:type="character" w:customStyle="1" w:styleId="ListBulletshade">
    <w:name w:val="List Bullet shade"/>
    <w:uiPriority w:val="99"/>
    <w:rsid w:val="00406D27"/>
    <w:rPr>
      <w:rFonts w:ascii="Tahoma" w:hAnsi="Tahoma"/>
      <w:sz w:val="24"/>
    </w:rPr>
  </w:style>
  <w:style w:type="character" w:styleId="CommentReference">
    <w:name w:val="annotation reference"/>
    <w:uiPriority w:val="99"/>
    <w:semiHidden/>
    <w:unhideWhenUsed/>
    <w:rsid w:val="001D56DD"/>
    <w:rPr>
      <w:sz w:val="16"/>
      <w:szCs w:val="16"/>
    </w:rPr>
  </w:style>
  <w:style w:type="paragraph" w:styleId="CommentText">
    <w:name w:val="annotation text"/>
    <w:basedOn w:val="Normal"/>
    <w:link w:val="CommentTextChar"/>
    <w:uiPriority w:val="99"/>
    <w:semiHidden/>
    <w:unhideWhenUsed/>
    <w:rsid w:val="001D56DD"/>
    <w:rPr>
      <w:sz w:val="20"/>
      <w:szCs w:val="20"/>
    </w:rPr>
  </w:style>
  <w:style w:type="character" w:customStyle="1" w:styleId="CommentTextChar">
    <w:name w:val="Comment Text Char"/>
    <w:link w:val="CommentText"/>
    <w:uiPriority w:val="99"/>
    <w:semiHidden/>
    <w:rsid w:val="001D56DD"/>
    <w:rPr>
      <w:rFonts w:ascii="Tahoma" w:eastAsia="Times New Roman" w:hAnsi="Tahoma" w:cs="Tahoma"/>
      <w:sz w:val="20"/>
      <w:szCs w:val="20"/>
      <w:lang w:eastAsia="en-AU"/>
    </w:rPr>
  </w:style>
  <w:style w:type="paragraph" w:styleId="CommentSubject">
    <w:name w:val="annotation subject"/>
    <w:basedOn w:val="CommentText"/>
    <w:next w:val="CommentText"/>
    <w:link w:val="CommentSubjectChar"/>
    <w:uiPriority w:val="99"/>
    <w:semiHidden/>
    <w:unhideWhenUsed/>
    <w:rsid w:val="001D56DD"/>
    <w:rPr>
      <w:b/>
      <w:bCs/>
    </w:rPr>
  </w:style>
  <w:style w:type="character" w:customStyle="1" w:styleId="CommentSubjectChar">
    <w:name w:val="Comment Subject Char"/>
    <w:link w:val="CommentSubject"/>
    <w:uiPriority w:val="99"/>
    <w:semiHidden/>
    <w:rsid w:val="001D56DD"/>
    <w:rPr>
      <w:rFonts w:ascii="Tahoma" w:eastAsia="Times New Roman" w:hAnsi="Tahoma" w:cs="Tahoma"/>
      <w:b/>
      <w:bCs/>
      <w:sz w:val="20"/>
      <w:szCs w:val="20"/>
      <w:lang w:eastAsia="en-AU"/>
    </w:rPr>
  </w:style>
  <w:style w:type="character" w:styleId="Hyperlink">
    <w:name w:val="Hyperlink"/>
    <w:uiPriority w:val="99"/>
    <w:unhideWhenUsed/>
    <w:rsid w:val="00C50840"/>
    <w:rPr>
      <w:color w:val="0000FF"/>
      <w:u w:val="single"/>
    </w:rPr>
  </w:style>
  <w:style w:type="paragraph" w:styleId="ListParagraph">
    <w:name w:val="List Paragraph"/>
    <w:basedOn w:val="Normal"/>
    <w:uiPriority w:val="34"/>
    <w:qFormat/>
    <w:rsid w:val="00BA2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png"/><Relationship Id="rId13" Type="http://schemas.openxmlformats.org/officeDocument/2006/relationships/image" Target="media/image5.jpg"/><Relationship Id="rId14" Type="http://schemas.openxmlformats.org/officeDocument/2006/relationships/hyperlink" Target="http://www.eonz.org.nz/"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C9F20-D1C7-2F43-82F1-AE0751215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589</Words>
  <Characters>3363</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3945</CharactersWithSpaces>
  <SharedDoc>false</SharedDoc>
  <HLinks>
    <vt:vector size="24" baseType="variant">
      <vt:variant>
        <vt:i4>2621475</vt:i4>
      </vt:variant>
      <vt:variant>
        <vt:i4>9</vt:i4>
      </vt:variant>
      <vt:variant>
        <vt:i4>0</vt:i4>
      </vt:variant>
      <vt:variant>
        <vt:i4>5</vt:i4>
      </vt:variant>
      <vt:variant>
        <vt:lpwstr>http://www.eonz.org.nz/</vt:lpwstr>
      </vt:variant>
      <vt:variant>
        <vt:lpwstr/>
      </vt:variant>
      <vt:variant>
        <vt:i4>5898326</vt:i4>
      </vt:variant>
      <vt:variant>
        <vt:i4>6</vt:i4>
      </vt:variant>
      <vt:variant>
        <vt:i4>0</vt:i4>
      </vt:variant>
      <vt:variant>
        <vt:i4>5</vt:i4>
      </vt:variant>
      <vt:variant>
        <vt:lpwstr>http://eotc.tki.org.nz/EOTC-home/For-teachers</vt:lpwstr>
      </vt:variant>
      <vt:variant>
        <vt:lpwstr/>
      </vt:variant>
      <vt:variant>
        <vt:i4>2621475</vt:i4>
      </vt:variant>
      <vt:variant>
        <vt:i4>3</vt:i4>
      </vt:variant>
      <vt:variant>
        <vt:i4>0</vt:i4>
      </vt:variant>
      <vt:variant>
        <vt:i4>5</vt:i4>
      </vt:variant>
      <vt:variant>
        <vt:lpwstr>http://www.eonz.org.nz/</vt:lpwstr>
      </vt:variant>
      <vt:variant>
        <vt:lpwstr/>
      </vt:variant>
      <vt:variant>
        <vt:i4>2621475</vt:i4>
      </vt:variant>
      <vt:variant>
        <vt:i4>0</vt:i4>
      </vt:variant>
      <vt:variant>
        <vt:i4>0</vt:i4>
      </vt:variant>
      <vt:variant>
        <vt:i4>5</vt:i4>
      </vt:variant>
      <vt:variant>
        <vt:lpwstr>http://www.eonz.org.nz/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dc:creator>
  <cp:keywords/>
  <cp:lastModifiedBy>Fiona McDonald</cp:lastModifiedBy>
  <cp:revision>21</cp:revision>
  <dcterms:created xsi:type="dcterms:W3CDTF">2012-02-13T21:28:00Z</dcterms:created>
  <dcterms:modified xsi:type="dcterms:W3CDTF">2012-09-25T02:11:00Z</dcterms:modified>
</cp:coreProperties>
</file>